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5FD" w:rsidRPr="00A77DA2">
      <w:pPr>
        <w:rPr>
          <w:sz w:val="24"/>
          <w:szCs w:val="24"/>
        </w:rPr>
      </w:pPr>
      <w:r>
        <w:rPr>
          <w:rFonts w:ascii="Calibri" w:hAnsi="Calibri" w:cs="Arial"/>
          <w:b/>
          <w:bCs/>
          <w:color w:val="000000"/>
          <w:sz w:val="24"/>
          <w:szCs w:val="24"/>
        </w:rPr>
        <w:t xml:space="preserve">Parecer </w:t>
      </w:r>
      <w:bookmarkStart w:id="0" w:name="docs-internal-guid-6dc14b50-7fff-3068-6d"/>
      <w:bookmarkEnd w:id="0"/>
      <w:r w:rsidR="00657540">
        <w:rPr>
          <w:rFonts w:ascii="Calibri" w:hAnsi="Calibri" w:cs="Arial"/>
          <w:b/>
          <w:bCs/>
          <w:color w:val="000000"/>
          <w:sz w:val="24"/>
          <w:szCs w:val="24"/>
        </w:rPr>
        <w:t xml:space="preserve">ao </w:t>
      </w:r>
      <w:r w:rsidRPr="00A77DA2" w:rsidR="00922054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 xml:space="preserve">Projeto de Lei </w:t>
      </w:r>
      <w:r w:rsidR="00657540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Complementar nº 09</w:t>
      </w:r>
      <w:r w:rsidRPr="00A77DA2" w:rsidR="00D87F12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/2025</w:t>
      </w:r>
    </w:p>
    <w:p w:rsidR="008615FD" w:rsidRPr="00A77DA2">
      <w:pPr>
        <w:pStyle w:val="BodyText"/>
        <w:spacing w:after="0" w:line="240" w:lineRule="auto"/>
        <w:contextualSpacing/>
        <w:rPr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Processo nº 90</w:t>
      </w:r>
      <w:r w:rsidRPr="00A77DA2" w:rsidR="00922054">
        <w:rPr>
          <w:rFonts w:ascii="Calibri" w:hAnsi="Calibri"/>
          <w:b/>
          <w:color w:val="000000"/>
          <w:sz w:val="24"/>
          <w:szCs w:val="24"/>
        </w:rPr>
        <w:t>/202</w:t>
      </w:r>
      <w:r w:rsidR="00F938B8">
        <w:rPr>
          <w:rFonts w:ascii="Calibri" w:hAnsi="Calibri"/>
          <w:b/>
          <w:color w:val="000000"/>
          <w:sz w:val="24"/>
          <w:szCs w:val="24"/>
        </w:rPr>
        <w:t>5</w:t>
      </w:r>
    </w:p>
    <w:p w:rsidR="008615FD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  <w:t>Confo</w:t>
      </w:r>
      <w:r w:rsidRPr="00A77DA2" w:rsidR="00A8293C">
        <w:rPr>
          <w:rFonts w:ascii="Calibri" w:hAnsi="Calibri"/>
          <w:color w:val="000000"/>
          <w:sz w:val="24"/>
          <w:szCs w:val="24"/>
        </w:rPr>
        <w:t>rme determina</w:t>
      </w:r>
      <w:r w:rsidR="00B4421D">
        <w:rPr>
          <w:rFonts w:ascii="Calibri" w:hAnsi="Calibri"/>
          <w:color w:val="000000"/>
          <w:sz w:val="24"/>
          <w:szCs w:val="24"/>
        </w:rPr>
        <w:t>m</w:t>
      </w:r>
      <w:r w:rsidRPr="00A77DA2" w:rsidR="00A8293C">
        <w:rPr>
          <w:rFonts w:ascii="Calibri" w:hAnsi="Calibri"/>
          <w:color w:val="000000"/>
          <w:sz w:val="24"/>
          <w:szCs w:val="24"/>
        </w:rPr>
        <w:t xml:space="preserve"> o</w:t>
      </w:r>
      <w:r w:rsidR="00B4421D">
        <w:rPr>
          <w:rFonts w:ascii="Calibri" w:hAnsi="Calibri"/>
          <w:color w:val="000000"/>
          <w:sz w:val="24"/>
          <w:szCs w:val="24"/>
        </w:rPr>
        <w:t>s</w:t>
      </w:r>
      <w:r w:rsidRPr="00A77DA2" w:rsidR="00A8293C">
        <w:rPr>
          <w:rFonts w:ascii="Calibri" w:hAnsi="Calibri"/>
          <w:color w:val="000000"/>
          <w:sz w:val="24"/>
          <w:szCs w:val="24"/>
        </w:rPr>
        <w:t xml:space="preserve"> artigo</w:t>
      </w:r>
      <w:r w:rsidR="00B4421D">
        <w:rPr>
          <w:rFonts w:ascii="Calibri" w:hAnsi="Calibri"/>
          <w:color w:val="000000"/>
          <w:sz w:val="24"/>
          <w:szCs w:val="24"/>
        </w:rPr>
        <w:t>s</w:t>
      </w:r>
      <w:r w:rsidR="00657540">
        <w:rPr>
          <w:rFonts w:ascii="Calibri" w:hAnsi="Calibri"/>
          <w:color w:val="000000"/>
          <w:sz w:val="24"/>
          <w:szCs w:val="24"/>
        </w:rPr>
        <w:t xml:space="preserve"> 35 e</w:t>
      </w:r>
      <w:r w:rsidR="000D56C3">
        <w:rPr>
          <w:rFonts w:ascii="Calibri" w:hAnsi="Calibri"/>
          <w:color w:val="000000"/>
          <w:sz w:val="24"/>
          <w:szCs w:val="24"/>
        </w:rPr>
        <w:t xml:space="preserve"> </w:t>
      </w:r>
      <w:r w:rsidRPr="00A77DA2" w:rsidR="00A8293C">
        <w:rPr>
          <w:rFonts w:ascii="Calibri" w:hAnsi="Calibri"/>
          <w:color w:val="000000"/>
          <w:sz w:val="24"/>
          <w:szCs w:val="24"/>
        </w:rPr>
        <w:t>37</w:t>
      </w:r>
      <w:r w:rsidR="00657540">
        <w:rPr>
          <w:rFonts w:ascii="Calibri" w:hAnsi="Calibri"/>
          <w:color w:val="000000"/>
          <w:sz w:val="24"/>
          <w:szCs w:val="24"/>
        </w:rPr>
        <w:t xml:space="preserve"> </w:t>
      </w:r>
      <w:r w:rsidRPr="00A77DA2">
        <w:rPr>
          <w:rFonts w:ascii="Calibri" w:hAnsi="Calibri"/>
          <w:color w:val="000000"/>
          <w:sz w:val="24"/>
          <w:szCs w:val="24"/>
        </w:rPr>
        <w:t>da Resolução 276 de 09 de novembro de 2010 – Regimento Interno da Câmara Municipal, as Comissões Permanentes de Justiça e Redação</w:t>
      </w:r>
      <w:r w:rsidR="00657540">
        <w:rPr>
          <w:rFonts w:ascii="Calibri" w:hAnsi="Calibri"/>
          <w:color w:val="000000"/>
          <w:sz w:val="24"/>
          <w:szCs w:val="24"/>
        </w:rPr>
        <w:t xml:space="preserve"> e de</w:t>
      </w:r>
      <w:r w:rsidR="000D56C3">
        <w:rPr>
          <w:rFonts w:ascii="Calibri" w:hAnsi="Calibri"/>
          <w:color w:val="000000"/>
          <w:sz w:val="24"/>
          <w:szCs w:val="24"/>
        </w:rPr>
        <w:t xml:space="preserve"> </w:t>
      </w:r>
      <w:r w:rsidR="00657540">
        <w:rPr>
          <w:rFonts w:ascii="Calibri" w:hAnsi="Calibri"/>
          <w:color w:val="000000"/>
          <w:sz w:val="24"/>
          <w:szCs w:val="24"/>
        </w:rPr>
        <w:t>Finanças e Orçamento</w:t>
      </w:r>
      <w:r w:rsidR="000D56C3">
        <w:rPr>
          <w:rFonts w:ascii="Calibri" w:hAnsi="Calibri"/>
          <w:color w:val="000000"/>
          <w:sz w:val="24"/>
          <w:szCs w:val="24"/>
        </w:rPr>
        <w:t xml:space="preserve">, </w:t>
      </w:r>
      <w:r w:rsidRPr="00A77DA2">
        <w:rPr>
          <w:rFonts w:ascii="Calibri" w:hAnsi="Calibri"/>
          <w:color w:val="000000"/>
          <w:sz w:val="24"/>
          <w:szCs w:val="24"/>
        </w:rPr>
        <w:t>emitem o presente R</w:t>
      </w:r>
      <w:r w:rsidRPr="00A77DA2" w:rsidR="00A8293C">
        <w:rPr>
          <w:rFonts w:ascii="Calibri" w:hAnsi="Calibri"/>
          <w:color w:val="000000"/>
          <w:sz w:val="24"/>
          <w:szCs w:val="24"/>
        </w:rPr>
        <w:t>elatóri</w:t>
      </w:r>
      <w:r w:rsidR="00BD66A6">
        <w:rPr>
          <w:rFonts w:ascii="Calibri" w:hAnsi="Calibri"/>
          <w:color w:val="000000"/>
          <w:sz w:val="24"/>
          <w:szCs w:val="24"/>
        </w:rPr>
        <w:t xml:space="preserve">o acerca </w:t>
      </w:r>
      <w:r w:rsidR="005F093F">
        <w:rPr>
          <w:rFonts w:ascii="Calibri" w:hAnsi="Calibri"/>
          <w:color w:val="000000"/>
          <w:sz w:val="24"/>
          <w:szCs w:val="24"/>
        </w:rPr>
        <w:t>d</w:t>
      </w:r>
      <w:r w:rsidR="00590B40">
        <w:rPr>
          <w:rFonts w:ascii="Calibri" w:hAnsi="Calibri"/>
          <w:color w:val="000000"/>
          <w:sz w:val="24"/>
          <w:szCs w:val="24"/>
        </w:rPr>
        <w:t>o</w:t>
      </w:r>
      <w:r w:rsidR="00BD66A6">
        <w:rPr>
          <w:rFonts w:ascii="Calibri" w:hAnsi="Calibri"/>
          <w:color w:val="000000"/>
          <w:sz w:val="24"/>
          <w:szCs w:val="24"/>
        </w:rPr>
        <w:t xml:space="preserve"> Projeto de Lei Complementar nº 0</w:t>
      </w:r>
      <w:r w:rsidR="005F093F">
        <w:rPr>
          <w:rFonts w:ascii="Calibri" w:hAnsi="Calibri"/>
          <w:color w:val="000000"/>
          <w:sz w:val="24"/>
          <w:szCs w:val="24"/>
        </w:rPr>
        <w:t>9</w:t>
      </w:r>
      <w:r w:rsidRPr="00A77DA2" w:rsidR="00D87F12">
        <w:rPr>
          <w:rFonts w:ascii="Calibri" w:hAnsi="Calibri"/>
          <w:color w:val="000000"/>
          <w:sz w:val="24"/>
          <w:szCs w:val="24"/>
        </w:rPr>
        <w:t>/2025</w:t>
      </w:r>
      <w:r w:rsidR="00B4421D">
        <w:rPr>
          <w:rFonts w:ascii="Calibri" w:hAnsi="Calibri"/>
          <w:color w:val="000000"/>
          <w:sz w:val="24"/>
          <w:szCs w:val="24"/>
        </w:rPr>
        <w:t>, de autoria do Prefeito Municipal</w:t>
      </w:r>
      <w:r w:rsidRPr="00A77DA2">
        <w:rPr>
          <w:rFonts w:ascii="Calibri" w:hAnsi="Calibri"/>
          <w:color w:val="000000"/>
          <w:sz w:val="24"/>
          <w:szCs w:val="24"/>
        </w:rPr>
        <w:t>, sob relatoria da Vereadora Mara Cristina Choquetta.</w:t>
      </w:r>
    </w:p>
    <w:p w:rsidR="00DC0C75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</w:p>
    <w:p w:rsidR="008615FD" w:rsidRPr="00A77DA2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I. Exposição da Matéria</w:t>
      </w:r>
    </w:p>
    <w:p w:rsidR="00657540" w:rsidRPr="00657540" w:rsidP="00657540">
      <w:pPr>
        <w:pStyle w:val="BodyText"/>
        <w:spacing w:before="240"/>
        <w:jc w:val="both"/>
        <w:rPr>
          <w:rFonts w:ascii="Calibri" w:hAnsi="Calibri"/>
          <w:color w:val="000000"/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</w:r>
      <w:r w:rsidRPr="00657540">
        <w:rPr>
          <w:rFonts w:ascii="Calibri" w:hAnsi="Calibri"/>
          <w:color w:val="000000"/>
          <w:sz w:val="24"/>
          <w:szCs w:val="24"/>
        </w:rPr>
        <w:t>O Exmo. Prefeito Municipal, Dr. Paulo de Oliveira e Silva, protocolou nesta Casa de Leis o Projeto de Lei Complementar nº 09/2025</w:t>
      </w:r>
      <w:r>
        <w:rPr>
          <w:rFonts w:ascii="Calibri" w:hAnsi="Calibri"/>
          <w:color w:val="000000"/>
          <w:sz w:val="24"/>
          <w:szCs w:val="24"/>
        </w:rPr>
        <w:t xml:space="preserve">, que </w:t>
      </w:r>
      <w:r w:rsidRPr="00657540">
        <w:rPr>
          <w:rFonts w:ascii="Calibri" w:hAnsi="Calibri"/>
          <w:color w:val="000000"/>
          <w:sz w:val="24"/>
          <w:szCs w:val="24"/>
        </w:rPr>
        <w:t>"</w:t>
      </w:r>
      <w:r w:rsidRPr="00657540">
        <w:rPr>
          <w:rFonts w:ascii="Calibri" w:hAnsi="Calibri"/>
          <w:b/>
          <w:i/>
          <w:color w:val="000000"/>
          <w:sz w:val="24"/>
          <w:szCs w:val="24"/>
        </w:rPr>
        <w:t>DISPÕE SOBRE O PAGAMENTO DE OBRIGAÇÕES DO MUNICÍPIO DE PEQUENO VALOR, ATENDENDO AO DISPOSTO NOS §§ 3º E 4º, DO ART. 100, DA CONSTITUIÇÃO FEDERAL, E DETERMINA OUTRAS PROVIDÊNCIAS".</w:t>
      </w:r>
    </w:p>
    <w:p w:rsidR="00657540" w:rsidRPr="00657540" w:rsidP="00657540">
      <w:pPr>
        <w:pStyle w:val="BodyText"/>
        <w:spacing w:before="240"/>
        <w:ind w:firstLine="708"/>
        <w:jc w:val="both"/>
        <w:rPr>
          <w:rFonts w:ascii="Calibri" w:hAnsi="Calibri"/>
          <w:color w:val="000000"/>
          <w:sz w:val="24"/>
          <w:szCs w:val="24"/>
        </w:rPr>
      </w:pPr>
      <w:r w:rsidRPr="00657540">
        <w:rPr>
          <w:rFonts w:ascii="Calibri" w:hAnsi="Calibri"/>
          <w:color w:val="000000"/>
          <w:sz w:val="24"/>
          <w:szCs w:val="24"/>
        </w:rPr>
        <w:t>O objetivo central do projeto é regulamentar o pagamento de obrigações de pequeno valor do Município, que decorrem de sentença judicial transitada em julgado, independentemente da expedição de precatório. Para tal, a propositura estabelece que a Obrigação de Pequeno Valor corresponderá ao dobro do valor do maior benefício do regime geral de previdência social.</w:t>
      </w:r>
    </w:p>
    <w:p w:rsidR="00657540" w:rsidRPr="00657540" w:rsidP="00657540">
      <w:pPr>
        <w:pStyle w:val="BodyText"/>
        <w:spacing w:before="240"/>
        <w:ind w:firstLine="708"/>
        <w:jc w:val="both"/>
        <w:rPr>
          <w:rFonts w:ascii="Calibri" w:hAnsi="Calibri"/>
          <w:color w:val="000000"/>
          <w:sz w:val="24"/>
          <w:szCs w:val="24"/>
        </w:rPr>
      </w:pPr>
      <w:r w:rsidRPr="00657540">
        <w:rPr>
          <w:rFonts w:ascii="Calibri" w:hAnsi="Calibri"/>
          <w:color w:val="000000"/>
          <w:sz w:val="24"/>
          <w:szCs w:val="24"/>
        </w:rPr>
        <w:t>Ainda, o projeto veda o fracionamento, repartição ou quebra do valor da execução para que o pagamento não seja feito parte por esta Lei Complementar e parte por precatório. A atualização do crédito, para os efeitos desta Lei Complementar e para seu pagamento, resultará da correção do valor nominal do ofício do Poder Judiciário, acrescidos de juros moratórios e compensatórios, se for o caso, conforme decisão transitada em julgado. Os débitos de pequeno valor contra a Fazenda Pública Municipal e suas autarquias, resultantes de execuções definitivas, dispensarão a expedição de precatório.</w:t>
      </w:r>
    </w:p>
    <w:p w:rsidR="00657540" w:rsidRPr="00657540" w:rsidP="00657540">
      <w:pPr>
        <w:pStyle w:val="BodyText"/>
        <w:spacing w:before="240"/>
        <w:ind w:firstLine="708"/>
        <w:jc w:val="both"/>
        <w:rPr>
          <w:rFonts w:ascii="Calibri" w:hAnsi="Calibri"/>
          <w:color w:val="000000"/>
          <w:sz w:val="24"/>
          <w:szCs w:val="24"/>
        </w:rPr>
      </w:pPr>
      <w:r w:rsidRPr="00657540">
        <w:rPr>
          <w:rFonts w:ascii="Calibri" w:hAnsi="Calibri"/>
          <w:color w:val="000000"/>
          <w:sz w:val="24"/>
          <w:szCs w:val="24"/>
        </w:rPr>
        <w:t>O pagamento ao titular de Obrigação de Pequeno Valor será realizado no prazo máximo de 60 (sessenta) dias, contados do recebimento do ofício requisitório (RPV - Requisição de Pequeno Valor), desde que demonstrado o trânsito em julgado do processo respectivo e a liquidez da obrigação. Caso o valor da execução ultrapasse o limite estabelecido, o pagamento será sempre por meio de precatório, facultando-se ao credor renunciar expressamente ao crédito excedente e optar pelo pagamento do saldo via requisição de pequeno valor, conforme o § 3º do art. 100 da Constituição Federal.</w:t>
      </w:r>
    </w:p>
    <w:p w:rsidR="00657540" w:rsidP="00657540">
      <w:pPr>
        <w:pStyle w:val="BodyText"/>
        <w:spacing w:before="240" w:after="0" w:line="240" w:lineRule="auto"/>
        <w:ind w:firstLine="708"/>
        <w:jc w:val="both"/>
        <w:rPr>
          <w:rFonts w:ascii="Calibri" w:hAnsi="Calibri"/>
          <w:color w:val="000000"/>
          <w:sz w:val="24"/>
          <w:szCs w:val="24"/>
        </w:rPr>
      </w:pPr>
      <w:r w:rsidRPr="00657540">
        <w:rPr>
          <w:rFonts w:ascii="Calibri" w:hAnsi="Calibri"/>
          <w:color w:val="000000"/>
          <w:sz w:val="24"/>
          <w:szCs w:val="24"/>
        </w:rPr>
        <w:t xml:space="preserve">Por fim, o Art. 5º da propositura detalha a cobertura orçamentária para as despesas decorrentes da aplicação desta Lei no exercício corrente, que correrão por conta da anulação parcial da dotação da Reserva de Contingência, no valor de R$ 2.000.000,00. Este valor será </w:t>
      </w:r>
      <w:r w:rsidRPr="00657540">
        <w:rPr>
          <w:rFonts w:ascii="Calibri" w:hAnsi="Calibri"/>
          <w:color w:val="000000"/>
          <w:sz w:val="24"/>
          <w:szCs w:val="24"/>
        </w:rPr>
        <w:t>destinado para suplementar as dotações orçamentárias de Encargos Gerais do Município – Dívida Contratual e Precatórios – Sentenças Judiciais, em duas categorias, cada uma no valor de R$ 1.000.000,00. O projeto revoga a Lei Municipal nº 3.714, de 15 de outubro de 2002</w:t>
      </w:r>
    </w:p>
    <w:p w:rsidR="006E45E6" w:rsidP="006E45E6">
      <w:pPr>
        <w:pStyle w:val="BodyText"/>
        <w:spacing w:before="240"/>
        <w:ind w:firstLine="708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O autor justifica em sua mensagem nº 025/25 que “</w:t>
      </w:r>
      <w:r w:rsidRPr="00657540">
        <w:rPr>
          <w:rFonts w:ascii="Calibri" w:hAnsi="Calibri"/>
          <w:i/>
          <w:color w:val="000000"/>
          <w:sz w:val="24"/>
          <w:szCs w:val="24"/>
        </w:rPr>
        <w:t xml:space="preserve">A medida ora tomada se faz necessário, tendo em vista o aumento de decisões judiciais indenizatórias em desfavor do Município, impondo a necessidade de realizar a adequação do teto para emissão de </w:t>
      </w:r>
      <w:r w:rsidRPr="00657540">
        <w:rPr>
          <w:rFonts w:ascii="Calibri" w:hAnsi="Calibri"/>
          <w:i/>
          <w:color w:val="000000"/>
          <w:sz w:val="24"/>
          <w:szCs w:val="24"/>
        </w:rPr>
        <w:t>RPVs</w:t>
      </w:r>
      <w:r w:rsidRPr="00657540">
        <w:rPr>
          <w:rFonts w:ascii="Calibri" w:hAnsi="Calibri"/>
          <w:i/>
          <w:color w:val="000000"/>
          <w:sz w:val="24"/>
          <w:szCs w:val="24"/>
        </w:rPr>
        <w:t>, para garantir o equilíbrio orçamentário e financeiro.</w:t>
      </w:r>
    </w:p>
    <w:p w:rsidR="006E45E6" w:rsidP="006E45E6">
      <w:pPr>
        <w:pStyle w:val="BodyText"/>
        <w:spacing w:before="240"/>
        <w:ind w:firstLine="708"/>
        <w:jc w:val="both"/>
        <w:rPr>
          <w:rFonts w:ascii="Calibri" w:hAnsi="Calibri"/>
          <w:i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De forma complementar explica ainda que “</w:t>
      </w:r>
      <w:r w:rsidRPr="006E45E6">
        <w:rPr>
          <w:rFonts w:ascii="Calibri" w:hAnsi="Calibri"/>
          <w:i/>
          <w:color w:val="000000"/>
          <w:sz w:val="24"/>
          <w:szCs w:val="24"/>
        </w:rPr>
        <w:t>conforme novo entendimento estabelecidas sobre a resolução do CNJ nº 303/2019, para pagamentos dos precatórios no exercício de 2025, o Município deverá promover depósitos mensais em valores correspondentes a alíquota de 4,44% incidente sobre a Receita Corrente Líquida (RCL), gerando despesas no valor de aproximadamente R$ 32.000.000,00. Ressalta-se que, no exercício de 2024, o Município depositava conforme alíquota de 1,71% sobre a RCL. Dessa forma, há um aumento na alíquota de pagamentos dos precatórios de 2,73%</w:t>
      </w:r>
      <w:r>
        <w:rPr>
          <w:rFonts w:ascii="Calibri" w:hAnsi="Calibri"/>
          <w:i/>
          <w:color w:val="000000"/>
          <w:sz w:val="24"/>
          <w:szCs w:val="24"/>
        </w:rPr>
        <w:t xml:space="preserve"> [...]</w:t>
      </w:r>
      <w:r w:rsidRPr="006E45E6">
        <w:rPr>
          <w:rFonts w:ascii="Calibri" w:hAnsi="Calibri"/>
          <w:i/>
          <w:color w:val="000000"/>
          <w:sz w:val="24"/>
          <w:szCs w:val="24"/>
        </w:rPr>
        <w:t>”</w:t>
      </w:r>
    </w:p>
    <w:p w:rsidR="005F093F" w:rsidP="00657540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</w:p>
    <w:p w:rsidR="008615FD" w:rsidRPr="00A77DA2" w:rsidP="00657540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II. Do mérito e conclusões da relatora</w:t>
      </w:r>
    </w:p>
    <w:p w:rsidR="008615FD" w:rsidRPr="00A77DA2">
      <w:pPr>
        <w:pStyle w:val="BodyText"/>
        <w:spacing w:before="240" w:after="240" w:line="240" w:lineRule="auto"/>
        <w:jc w:val="both"/>
        <w:rPr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  <w:t>Inicialmente, e</w:t>
      </w:r>
      <w:r w:rsidRPr="00A77DA2">
        <w:rPr>
          <w:rFonts w:ascii="Calibri" w:eastAsia="Arial" w:hAnsi="Calibri" w:cs="Arial"/>
          <w:color w:val="000000"/>
          <w:sz w:val="24"/>
          <w:szCs w:val="24"/>
        </w:rPr>
        <w:t>m análise técnica ao Projeto de</w:t>
      </w:r>
      <w:r w:rsidRPr="00A77DA2" w:rsidR="006179A4">
        <w:rPr>
          <w:rFonts w:ascii="Calibri" w:eastAsia="Arial" w:hAnsi="Calibri" w:cs="Arial"/>
          <w:color w:val="000000"/>
          <w:sz w:val="24"/>
          <w:szCs w:val="24"/>
        </w:rPr>
        <w:t xml:space="preserve"> Lei </w:t>
      </w:r>
      <w:r w:rsidRPr="00A77DA2">
        <w:rPr>
          <w:rFonts w:ascii="Calibri" w:eastAsia="Arial" w:hAnsi="Calibri" w:cs="Arial"/>
          <w:color w:val="000000"/>
          <w:sz w:val="24"/>
          <w:szCs w:val="24"/>
        </w:rPr>
        <w:t xml:space="preserve">em epígrafe, verificamos que o mesmo se encontra em conformidade com artigo 30, inciso I da Constituição Federal, uma vez que se trata de assunto de interesse local. </w:t>
      </w:r>
    </w:p>
    <w:p w:rsidR="008615FD" w:rsidRPr="00B763F8" w:rsidP="00DC0C75">
      <w:pPr>
        <w:pStyle w:val="BodyText"/>
        <w:spacing w:before="240" w:after="240" w:line="240" w:lineRule="auto"/>
        <w:ind w:left="2832"/>
        <w:jc w:val="both"/>
        <w:rPr>
          <w:rFonts w:ascii="Calibri" w:eastAsia="Arial" w:hAnsi="Calibri" w:cs="Arial"/>
          <w:i/>
          <w:iCs/>
          <w:color w:val="000000"/>
          <w:sz w:val="22"/>
          <w:szCs w:val="24"/>
        </w:rPr>
      </w:pPr>
      <w:r w:rsidRPr="00B763F8">
        <w:rPr>
          <w:rFonts w:ascii="Calibri" w:eastAsia="Arial" w:hAnsi="Calibri" w:cs="Arial"/>
          <w:i/>
          <w:iCs/>
          <w:color w:val="000000"/>
          <w:sz w:val="22"/>
          <w:szCs w:val="24"/>
        </w:rPr>
        <w:t>“Art. 30. Compete aos Municípios:</w:t>
      </w:r>
    </w:p>
    <w:p w:rsidR="008615FD" w:rsidRPr="00B763F8" w:rsidP="00DC0C75">
      <w:pPr>
        <w:pStyle w:val="BodyText"/>
        <w:spacing w:before="240" w:after="240" w:line="240" w:lineRule="auto"/>
        <w:ind w:left="2832"/>
        <w:jc w:val="both"/>
        <w:rPr>
          <w:rFonts w:ascii="Calibri" w:eastAsia="Arial" w:hAnsi="Calibri" w:cs="Arial"/>
          <w:i/>
          <w:iCs/>
          <w:color w:val="000000"/>
          <w:sz w:val="22"/>
          <w:szCs w:val="24"/>
        </w:rPr>
      </w:pPr>
      <w:r w:rsidRPr="00B763F8">
        <w:rPr>
          <w:rFonts w:ascii="Calibri" w:eastAsia="Arial" w:hAnsi="Calibri" w:cs="Arial"/>
          <w:i/>
          <w:iCs/>
          <w:color w:val="000000"/>
          <w:sz w:val="22"/>
          <w:szCs w:val="24"/>
        </w:rPr>
        <w:t xml:space="preserve">I - </w:t>
      </w:r>
      <w:r w:rsidRPr="00B763F8">
        <w:rPr>
          <w:rFonts w:ascii="Calibri" w:eastAsia="Arial" w:hAnsi="Calibri" w:cs="Arial"/>
          <w:i/>
          <w:iCs/>
          <w:color w:val="000000"/>
          <w:sz w:val="22"/>
          <w:szCs w:val="24"/>
        </w:rPr>
        <w:t>legislar</w:t>
      </w:r>
      <w:r w:rsidRPr="00B763F8">
        <w:rPr>
          <w:rFonts w:ascii="Calibri" w:eastAsia="Arial" w:hAnsi="Calibri" w:cs="Arial"/>
          <w:i/>
          <w:iCs/>
          <w:color w:val="000000"/>
          <w:sz w:val="22"/>
          <w:szCs w:val="24"/>
        </w:rPr>
        <w:t xml:space="preserve"> sobre assuntos de interesse local; </w:t>
      </w:r>
    </w:p>
    <w:p w:rsidR="00B763F8" w:rsidRPr="00B763F8" w:rsidP="00B763F8">
      <w:pPr>
        <w:pStyle w:val="BodyText"/>
        <w:spacing w:before="240" w:after="240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A77DA2">
        <w:rPr>
          <w:rFonts w:ascii="Calibri" w:eastAsia="Arial" w:hAnsi="Calibri" w:cs="Arial"/>
          <w:color w:val="000000"/>
          <w:sz w:val="24"/>
          <w:szCs w:val="24"/>
        </w:rPr>
        <w:tab/>
      </w:r>
      <w:r w:rsidRPr="00B763F8">
        <w:rPr>
          <w:rFonts w:ascii="Calibri" w:eastAsia="Arial" w:hAnsi="Calibri" w:cs="Arial"/>
          <w:color w:val="000000"/>
          <w:sz w:val="24"/>
          <w:szCs w:val="24"/>
        </w:rPr>
        <w:t xml:space="preserve">O projeto se enquadra nessa competência, </w:t>
      </w:r>
      <w:r w:rsidR="006E45E6">
        <w:rPr>
          <w:rFonts w:ascii="Calibri" w:eastAsia="Arial" w:hAnsi="Calibri" w:cs="Arial"/>
          <w:color w:val="000000"/>
          <w:sz w:val="24"/>
          <w:szCs w:val="24"/>
        </w:rPr>
        <w:t>uma vez que visa regulamentar um assunto de natureza local.</w:t>
      </w:r>
    </w:p>
    <w:p w:rsidR="00DC0C75" w:rsidP="00B763F8">
      <w:pPr>
        <w:pStyle w:val="BodyText"/>
        <w:spacing w:before="240" w:after="240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B763F8">
        <w:rPr>
          <w:rFonts w:ascii="Calibri" w:eastAsia="Arial" w:hAnsi="Calibri" w:cs="Arial"/>
          <w:color w:val="000000"/>
          <w:sz w:val="24"/>
          <w:szCs w:val="24"/>
        </w:rPr>
        <w:t>Ademais,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</w:t>
      </w:r>
      <w:r w:rsidRPr="00DC0C75">
        <w:rPr>
          <w:rFonts w:ascii="Calibri" w:eastAsia="Arial" w:hAnsi="Calibri" w:cs="Arial"/>
          <w:color w:val="000000"/>
          <w:sz w:val="24"/>
          <w:szCs w:val="24"/>
        </w:rPr>
        <w:t>dispõe os §§ 3º e 4º do art. 100 da Constituição da República:</w:t>
      </w:r>
    </w:p>
    <w:p w:rsidR="00DC0C75" w:rsidRPr="00DC0C75" w:rsidP="00DC0C75">
      <w:pPr>
        <w:pStyle w:val="BodyText"/>
        <w:spacing w:before="240" w:after="240"/>
        <w:ind w:left="2832"/>
        <w:jc w:val="both"/>
        <w:rPr>
          <w:rFonts w:ascii="Calibri" w:eastAsia="Arial" w:hAnsi="Calibri" w:cs="Arial"/>
          <w:i/>
          <w:color w:val="000000"/>
          <w:sz w:val="22"/>
          <w:szCs w:val="24"/>
        </w:rPr>
      </w:pPr>
      <w:r w:rsidRPr="00DC0C75">
        <w:rPr>
          <w:rFonts w:ascii="Calibri" w:eastAsia="Arial" w:hAnsi="Calibri" w:cs="Arial"/>
          <w:i/>
          <w:color w:val="000000"/>
          <w:sz w:val="22"/>
          <w:szCs w:val="24"/>
        </w:rPr>
        <w:t>“Art. 100. Os pagamentos devidos pelas Fazendas Públicas Federal, Estaduais, Distrital e Municipais, em virtude de sentença judiciária, far-se-ão exclusivamente na ordem cronológica de apresentação dos precatórios e à conta dos créditos respectivos, proibida a designação de casos ou de pessoas nas dotações orçamentárias e nos créditos adicionais abertos para este fim.</w:t>
      </w:r>
    </w:p>
    <w:p w:rsidR="00DC0C75" w:rsidRPr="00DC0C75" w:rsidP="00DC0C75">
      <w:pPr>
        <w:pStyle w:val="BodyText"/>
        <w:spacing w:before="240" w:after="240"/>
        <w:ind w:left="2832"/>
        <w:jc w:val="both"/>
        <w:rPr>
          <w:rFonts w:ascii="Calibri" w:eastAsia="Arial" w:hAnsi="Calibri" w:cs="Arial"/>
          <w:i/>
          <w:color w:val="000000"/>
          <w:sz w:val="22"/>
          <w:szCs w:val="24"/>
        </w:rPr>
      </w:pPr>
      <w:r w:rsidRPr="00DC0C75">
        <w:rPr>
          <w:rFonts w:ascii="Calibri" w:eastAsia="Arial" w:hAnsi="Calibri" w:cs="Arial"/>
          <w:i/>
          <w:color w:val="000000"/>
          <w:sz w:val="22"/>
          <w:szCs w:val="24"/>
        </w:rPr>
        <w:t>[...]</w:t>
      </w:r>
    </w:p>
    <w:p w:rsidR="00DC0C75" w:rsidRPr="00DC0C75" w:rsidP="00DC0C75">
      <w:pPr>
        <w:pStyle w:val="BodyText"/>
        <w:spacing w:before="240" w:after="240"/>
        <w:ind w:left="2832"/>
        <w:jc w:val="both"/>
        <w:rPr>
          <w:rFonts w:ascii="Calibri" w:eastAsia="Arial" w:hAnsi="Calibri" w:cs="Arial"/>
          <w:i/>
          <w:color w:val="000000"/>
          <w:sz w:val="22"/>
          <w:szCs w:val="24"/>
        </w:rPr>
      </w:pPr>
      <w:r w:rsidRPr="00DC0C75">
        <w:rPr>
          <w:rFonts w:ascii="Calibri" w:eastAsia="Arial" w:hAnsi="Calibri" w:cs="Arial"/>
          <w:i/>
          <w:color w:val="000000"/>
          <w:sz w:val="22"/>
          <w:szCs w:val="24"/>
        </w:rPr>
        <w:t xml:space="preserve">§ 3º O disposto no caput deste artigo relativamente à expedição de precatórios não se aplica aos pagamentos de obrigações definidas em </w:t>
      </w:r>
      <w:r w:rsidRPr="00DC0C75">
        <w:rPr>
          <w:rFonts w:ascii="Calibri" w:eastAsia="Arial" w:hAnsi="Calibri" w:cs="Arial"/>
          <w:i/>
          <w:color w:val="000000"/>
          <w:sz w:val="22"/>
          <w:szCs w:val="24"/>
        </w:rPr>
        <w:t>leis como de pequeno valor que as Fazendas referidas devam fazer em virtude de sentença judicial transitada em julgado.</w:t>
      </w:r>
    </w:p>
    <w:p w:rsidR="00DC0C75" w:rsidRPr="00DC0C75" w:rsidP="00DC0C75">
      <w:pPr>
        <w:pStyle w:val="BodyText"/>
        <w:spacing w:before="240" w:after="240"/>
        <w:ind w:left="2832"/>
        <w:jc w:val="both"/>
        <w:rPr>
          <w:rFonts w:ascii="Calibri" w:eastAsia="Arial" w:hAnsi="Calibri" w:cs="Arial"/>
          <w:i/>
          <w:color w:val="000000"/>
          <w:sz w:val="22"/>
          <w:szCs w:val="24"/>
        </w:rPr>
      </w:pPr>
      <w:r w:rsidRPr="00DC0C75">
        <w:rPr>
          <w:rFonts w:ascii="Calibri" w:eastAsia="Arial" w:hAnsi="Calibri" w:cs="Arial"/>
          <w:i/>
          <w:color w:val="000000"/>
          <w:sz w:val="22"/>
          <w:szCs w:val="24"/>
        </w:rPr>
        <w:t xml:space="preserve">§ 4º Para os fins do disposto no </w:t>
      </w:r>
      <w:r w:rsidRPr="00DC0C75">
        <w:rPr>
          <w:rFonts w:ascii="Calibri" w:eastAsia="Arial" w:hAnsi="Calibri" w:cs="Arial"/>
          <w:i/>
          <w:color w:val="000000"/>
          <w:sz w:val="22"/>
          <w:szCs w:val="24"/>
          <w:u w:val="single"/>
        </w:rPr>
        <w:t>§ 3º, poderão ser fixados, por leis próprias,</w:t>
      </w:r>
      <w:r w:rsidRPr="00DC0C75">
        <w:rPr>
          <w:rFonts w:ascii="Calibri" w:eastAsia="Arial" w:hAnsi="Calibri" w:cs="Arial"/>
          <w:i/>
          <w:color w:val="000000"/>
          <w:sz w:val="22"/>
          <w:szCs w:val="24"/>
        </w:rPr>
        <w:t xml:space="preserve"> </w:t>
      </w:r>
      <w:r w:rsidRPr="00DC0C75">
        <w:rPr>
          <w:rFonts w:ascii="Calibri" w:eastAsia="Arial" w:hAnsi="Calibri" w:cs="Arial"/>
          <w:i/>
          <w:color w:val="000000"/>
          <w:sz w:val="22"/>
          <w:szCs w:val="24"/>
          <w:u w:val="single"/>
        </w:rPr>
        <w:t>valores distintos às entidades de direito público</w:t>
      </w:r>
      <w:r w:rsidRPr="00DC0C75">
        <w:rPr>
          <w:rFonts w:ascii="Calibri" w:eastAsia="Arial" w:hAnsi="Calibri" w:cs="Arial"/>
          <w:i/>
          <w:color w:val="000000"/>
          <w:sz w:val="22"/>
          <w:szCs w:val="24"/>
        </w:rPr>
        <w:t>, segundo as diferentes capacidades econômicas, sendo o mínimo igual ao valor do maior benefício do regime geral de previdência social”.</w:t>
      </w:r>
      <w:r w:rsidRPr="00DC0C75" w:rsidR="00B763F8">
        <w:rPr>
          <w:rFonts w:ascii="Calibri" w:eastAsia="Arial" w:hAnsi="Calibri" w:cs="Arial"/>
          <w:i/>
          <w:color w:val="000000"/>
          <w:sz w:val="22"/>
          <w:szCs w:val="24"/>
        </w:rPr>
        <w:t xml:space="preserve"> </w:t>
      </w:r>
    </w:p>
    <w:p w:rsidR="00DC0C75" w:rsidRPr="005D6DB5" w:rsidP="005D6DB5">
      <w:pPr>
        <w:pStyle w:val="BodyText"/>
        <w:spacing w:before="240" w:after="240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DC0C75">
        <w:rPr>
          <w:rFonts w:ascii="Calibri" w:eastAsia="Arial" w:hAnsi="Calibri" w:cs="Arial"/>
          <w:color w:val="000000"/>
          <w:sz w:val="24"/>
          <w:szCs w:val="24"/>
        </w:rPr>
        <w:t xml:space="preserve">Do ponto de vista legal, a propositura busca </w:t>
      </w:r>
      <w:r>
        <w:rPr>
          <w:rFonts w:ascii="Calibri" w:eastAsia="Arial" w:hAnsi="Calibri" w:cs="Arial"/>
          <w:color w:val="000000"/>
          <w:sz w:val="24"/>
          <w:szCs w:val="24"/>
        </w:rPr>
        <w:t>alterar</w:t>
      </w:r>
      <w:r w:rsidRPr="00DC0C75">
        <w:rPr>
          <w:rFonts w:ascii="Calibri" w:eastAsia="Arial" w:hAnsi="Calibri" w:cs="Arial"/>
          <w:color w:val="000000"/>
          <w:sz w:val="24"/>
          <w:szCs w:val="24"/>
        </w:rPr>
        <w:t xml:space="preserve"> a legislação municipal às disposições constitucionais sobre o pagamento de obrigações de pequeno valor. A definição do limite de pequeno valor, em dobro do maior benefício do regime geral de previdência social, está em consonância com as prerrogativas dadas aos municípios para legislar sobre o tema</w:t>
      </w:r>
      <w:r w:rsidR="005D6DB5">
        <w:rPr>
          <w:rFonts w:ascii="Calibri" w:eastAsia="Arial" w:hAnsi="Calibri" w:cs="Arial"/>
          <w:color w:val="000000"/>
          <w:sz w:val="24"/>
          <w:szCs w:val="24"/>
        </w:rPr>
        <w:t xml:space="preserve">. </w:t>
      </w:r>
      <w:r>
        <w:rPr>
          <w:rFonts w:ascii="Calibri" w:eastAsia="Arial" w:hAnsi="Calibri" w:cs="Arial"/>
          <w:color w:val="000000"/>
          <w:sz w:val="24"/>
          <w:szCs w:val="24"/>
        </w:rPr>
        <w:t>Válido mencionar que o município já dispõe de lei específica (Lei Ordinária nº 3.714/02) que regulamenta o mesmo mecanismo, mas na razão referencial de</w:t>
      </w:r>
      <w:r w:rsidRPr="00CF788D">
        <w:rPr>
          <w:rFonts w:ascii="Calibri" w:eastAsia="Arial" w:hAnsi="Calibri" w:cs="Arial"/>
          <w:color w:val="000000"/>
          <w:sz w:val="24"/>
          <w:szCs w:val="24"/>
        </w:rPr>
        <w:t xml:space="preserve"> </w:t>
      </w:r>
      <w:r w:rsidRPr="00DC0C75">
        <w:rPr>
          <w:rFonts w:ascii="Calibri" w:eastAsia="Arial" w:hAnsi="Calibri" w:cs="Arial"/>
          <w:color w:val="000000"/>
          <w:sz w:val="24"/>
          <w:szCs w:val="24"/>
          <w:u w:val="single"/>
        </w:rPr>
        <w:t>trinta salários mínimos</w:t>
      </w:r>
      <w:r w:rsidR="005D6DB5">
        <w:rPr>
          <w:rFonts w:ascii="Calibri" w:eastAsia="Arial" w:hAnsi="Calibri" w:cs="Arial"/>
          <w:color w:val="000000"/>
          <w:sz w:val="24"/>
          <w:szCs w:val="24"/>
          <w:u w:val="single"/>
        </w:rPr>
        <w:t>.</w:t>
      </w:r>
      <w:r w:rsidRPr="00CF788D" w:rsidR="005D6DB5">
        <w:rPr>
          <w:rFonts w:ascii="Calibri" w:eastAsia="Arial" w:hAnsi="Calibri" w:cs="Arial"/>
          <w:color w:val="000000"/>
          <w:sz w:val="24"/>
          <w:szCs w:val="24"/>
        </w:rPr>
        <w:t xml:space="preserve"> </w:t>
      </w:r>
      <w:r w:rsidR="005D6DB5">
        <w:rPr>
          <w:rFonts w:ascii="Calibri" w:eastAsia="Arial" w:hAnsi="Calibri" w:cs="Arial"/>
          <w:color w:val="000000"/>
          <w:sz w:val="24"/>
          <w:szCs w:val="24"/>
        </w:rPr>
        <w:t>Tal lei será revogada com a aprovação da presente propositura.</w:t>
      </w:r>
    </w:p>
    <w:p w:rsidR="005D6DB5" w:rsidRPr="00A77DA2" w:rsidP="005D6DB5">
      <w:pPr>
        <w:pStyle w:val="BodyText"/>
        <w:spacing w:before="240" w:after="240" w:line="240" w:lineRule="auto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A77DA2">
        <w:rPr>
          <w:rFonts w:ascii="Calibri" w:eastAsia="Arial" w:hAnsi="Calibri" w:cs="Arial"/>
          <w:color w:val="000000"/>
          <w:sz w:val="24"/>
          <w:szCs w:val="24"/>
        </w:rPr>
        <w:t xml:space="preserve">Isto posto, 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do ponto de vista legal, </w:t>
      </w:r>
      <w:r w:rsidRPr="00A77DA2">
        <w:rPr>
          <w:rFonts w:ascii="Calibri" w:eastAsia="Arial" w:hAnsi="Calibri" w:cs="Arial"/>
          <w:color w:val="000000"/>
          <w:sz w:val="24"/>
          <w:szCs w:val="24"/>
        </w:rPr>
        <w:t>não encontramos óbices para continuidade da propositura.</w:t>
      </w:r>
    </w:p>
    <w:p w:rsidR="005D6DB5" w:rsidP="005D6DB5">
      <w:pPr>
        <w:pStyle w:val="BodyText"/>
        <w:spacing w:before="240" w:after="240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DC0C75">
        <w:rPr>
          <w:rFonts w:ascii="Calibri" w:eastAsia="Arial" w:hAnsi="Calibri" w:cs="Arial"/>
          <w:color w:val="000000"/>
          <w:sz w:val="24"/>
          <w:szCs w:val="24"/>
        </w:rPr>
        <w:t xml:space="preserve">Do ponto de vista orçamentário/financeiro, </w:t>
      </w:r>
      <w:r w:rsidRPr="003A042E" w:rsidR="003A042E">
        <w:rPr>
          <w:rFonts w:ascii="Calibri" w:eastAsia="Arial" w:hAnsi="Calibri" w:cs="Arial"/>
          <w:sz w:val="24"/>
          <w:szCs w:val="24"/>
        </w:rPr>
        <w:t>se encontra nos autos do processo a Certidão de Não Impacto Orçamentário de autoria da Secretaria Municipal de Finanças.</w:t>
      </w:r>
      <w:r w:rsidR="003A042E">
        <w:rPr>
          <w:rFonts w:ascii="Calibri" w:eastAsia="Arial" w:hAnsi="Calibri" w:cs="Arial"/>
          <w:sz w:val="24"/>
          <w:szCs w:val="24"/>
        </w:rPr>
        <w:t xml:space="preserve"> A</w:t>
      </w:r>
      <w:r w:rsidRPr="00DC0C75">
        <w:rPr>
          <w:rFonts w:ascii="Calibri" w:eastAsia="Arial" w:hAnsi="Calibri" w:cs="Arial"/>
          <w:color w:val="000000"/>
          <w:sz w:val="24"/>
          <w:szCs w:val="24"/>
        </w:rPr>
        <w:t xml:space="preserve"> propositura demonstra a previsão de recursos para fazer frente às despesas decorrentes da aplicação da lei. A anulação parcial da dotação da Reserva de Contingência para suplementar as dotações de Sentenças Judiciais indica um planejamento para cobrir os pagamentos </w:t>
      </w:r>
      <w:r w:rsidR="00864A08">
        <w:rPr>
          <w:rFonts w:ascii="Calibri" w:eastAsia="Arial" w:hAnsi="Calibri" w:cs="Arial"/>
          <w:color w:val="000000"/>
          <w:sz w:val="24"/>
          <w:szCs w:val="24"/>
        </w:rPr>
        <w:t>das Obrigações de Pequeno Valor.</w:t>
      </w:r>
    </w:p>
    <w:p w:rsidR="005D6DB5" w:rsidP="005D6DB5">
      <w:pPr>
        <w:pStyle w:val="BodyText"/>
        <w:spacing w:before="240" w:after="240"/>
        <w:ind w:firstLine="708"/>
        <w:jc w:val="both"/>
        <w:rPr>
          <w:rFonts w:ascii="Calibri" w:eastAsia="Arial" w:hAnsi="Calibri" w:cs="Arial"/>
          <w:b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 xml:space="preserve">A prefeitura ainda apresentou um levantamento </w:t>
      </w:r>
      <w:r w:rsidR="003A042E">
        <w:rPr>
          <w:rFonts w:ascii="Calibri" w:eastAsia="Arial" w:hAnsi="Calibri" w:cs="Arial"/>
          <w:color w:val="000000"/>
          <w:sz w:val="24"/>
          <w:szCs w:val="24"/>
        </w:rPr>
        <w:t xml:space="preserve">(Parecer Técnico) 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sobre a média de referência de outros municípios, de forma que segue acostado nos autos, destacamos o valor </w:t>
      </w:r>
      <w:r w:rsidR="003A042E">
        <w:rPr>
          <w:rFonts w:ascii="Calibri" w:eastAsia="Arial" w:hAnsi="Calibri" w:cs="Arial"/>
          <w:color w:val="000000"/>
          <w:sz w:val="24"/>
          <w:szCs w:val="24"/>
        </w:rPr>
        <w:t>que o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Governo do Estado de São Paulo </w:t>
      </w:r>
      <w:r w:rsidR="003A042E">
        <w:rPr>
          <w:rFonts w:ascii="Calibri" w:eastAsia="Arial" w:hAnsi="Calibri" w:cs="Arial"/>
          <w:color w:val="000000"/>
          <w:sz w:val="24"/>
          <w:szCs w:val="24"/>
        </w:rPr>
        <w:t xml:space="preserve">tem como referencial, sendo o montante de até </w:t>
      </w:r>
      <w:r w:rsidRPr="003A042E" w:rsidR="003A042E">
        <w:rPr>
          <w:rFonts w:ascii="Calibri" w:eastAsia="Arial" w:hAnsi="Calibri" w:cs="Arial"/>
          <w:b/>
          <w:color w:val="000000"/>
          <w:sz w:val="24"/>
          <w:szCs w:val="24"/>
        </w:rPr>
        <w:t>R$ 16.296,75</w:t>
      </w:r>
      <w:r w:rsidR="003A042E">
        <w:rPr>
          <w:rFonts w:ascii="Calibri" w:eastAsia="Arial" w:hAnsi="Calibri" w:cs="Arial"/>
          <w:b/>
          <w:color w:val="000000"/>
          <w:sz w:val="24"/>
          <w:szCs w:val="24"/>
        </w:rPr>
        <w:t>. Isto é, bem abaixo do referencial praticado com a lei municipal em vigor, e próximo do valor proposto nesta propositura (valores para 2025 – R$</w:t>
      </w:r>
      <w:r w:rsidRPr="003A042E" w:rsidR="003A042E">
        <w:rPr>
          <w:rFonts w:ascii="Calibri" w:eastAsia="Arial" w:hAnsi="Calibri" w:cs="Arial"/>
          <w:b/>
          <w:color w:val="000000"/>
          <w:sz w:val="24"/>
          <w:szCs w:val="24"/>
        </w:rPr>
        <w:t>16.314,82</w:t>
      </w:r>
      <w:r w:rsidR="003A042E">
        <w:rPr>
          <w:rFonts w:ascii="Calibri" w:eastAsia="Arial" w:hAnsi="Calibri" w:cs="Arial"/>
          <w:b/>
          <w:color w:val="000000"/>
          <w:sz w:val="24"/>
          <w:szCs w:val="24"/>
        </w:rPr>
        <w:t>)</w:t>
      </w:r>
      <w:r w:rsidR="002C4D05">
        <w:rPr>
          <w:rFonts w:ascii="Calibri" w:eastAsia="Arial" w:hAnsi="Calibri" w:cs="Arial"/>
          <w:b/>
          <w:color w:val="000000"/>
          <w:sz w:val="24"/>
          <w:szCs w:val="24"/>
        </w:rPr>
        <w:t>.</w:t>
      </w:r>
    </w:p>
    <w:p w:rsidR="003A042E" w:rsidRPr="003A042E" w:rsidP="005D6DB5">
      <w:pPr>
        <w:pStyle w:val="BodyText"/>
        <w:spacing w:before="240" w:after="240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3A042E">
        <w:rPr>
          <w:rFonts w:ascii="Calibri" w:eastAsia="Arial" w:hAnsi="Calibri" w:cs="Arial"/>
          <w:color w:val="000000"/>
          <w:sz w:val="24"/>
          <w:szCs w:val="24"/>
        </w:rPr>
        <w:t>De maneira resumida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, a prefeitura busca alterar o valor atualmente regulamentado, por um valor mais condizente com a pratica de outros municípios, de maneira a ser proporcional, alterado automaticamente com base no teto do benefício do INSS, como uma maneira de garantir a previsibilidade orçamentária e a capacidade financeira do município. </w:t>
      </w:r>
    </w:p>
    <w:p w:rsidR="002C4D05" w:rsidP="002C4D05">
      <w:pPr>
        <w:pStyle w:val="BodyText"/>
        <w:spacing w:before="240" w:after="240" w:line="240" w:lineRule="auto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>Imperioso salientar que a Prefeitura deverá cumprir o que determina o TEMA 792 do STF que dispõe “</w:t>
      </w:r>
      <w:r>
        <w:rPr>
          <w:rFonts w:ascii="Calibri" w:eastAsia="Arial" w:hAnsi="Calibri" w:cs="Arial"/>
          <w:i/>
          <w:color w:val="000000"/>
          <w:sz w:val="24"/>
          <w:szCs w:val="24"/>
        </w:rPr>
        <w:t xml:space="preserve"> Lei disciplinadora da submissão de credito ao sistema de execução via precatório possui natureza material e processual, sendo inaplicável a situação jurídica constituída em data que a anteceda”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. Isto é, a alteração proposta não será aplicável aos processos transitados em julgado. </w:t>
      </w:r>
    </w:p>
    <w:p w:rsidR="002C4D05" w:rsidRPr="002C4D05" w:rsidP="002C4D05">
      <w:pPr>
        <w:pStyle w:val="BodyText"/>
        <w:spacing w:before="240" w:after="240" w:line="240" w:lineRule="auto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>Tal entendimento é pacificado dentro do Poder Executivo, sendo citado durante a reunião conjunta das comissões, ocorrida em 11 de junho de 2025, conforme pode ser observado na ata lavrada.</w:t>
      </w:r>
    </w:p>
    <w:p w:rsidR="00DC0C75" w:rsidP="00DC0C75">
      <w:pPr>
        <w:pStyle w:val="BodyText"/>
        <w:spacing w:before="240" w:after="240" w:line="240" w:lineRule="auto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DC0C75">
        <w:rPr>
          <w:rFonts w:ascii="Calibri" w:eastAsia="Arial" w:hAnsi="Calibri" w:cs="Arial"/>
          <w:color w:val="000000"/>
          <w:sz w:val="24"/>
          <w:szCs w:val="24"/>
        </w:rPr>
        <w:t>Diante de todo o exposto, nota-se que a Propositura em análise mantém conformidade com a sua legalidade</w:t>
      </w:r>
      <w:r w:rsidR="003A042E">
        <w:rPr>
          <w:rFonts w:ascii="Calibri" w:eastAsia="Arial" w:hAnsi="Calibri" w:cs="Arial"/>
          <w:color w:val="000000"/>
          <w:sz w:val="24"/>
          <w:szCs w:val="24"/>
        </w:rPr>
        <w:t xml:space="preserve">, </w:t>
      </w:r>
      <w:r w:rsidRPr="00DC0C75">
        <w:rPr>
          <w:rFonts w:ascii="Calibri" w:eastAsia="Arial" w:hAnsi="Calibri" w:cs="Arial"/>
          <w:color w:val="000000"/>
          <w:sz w:val="24"/>
          <w:szCs w:val="24"/>
        </w:rPr>
        <w:t>dentro da Constituição Federal e Lei Orgânica Municipal. A regulamentação do pagamento de obrigações de pequeno valor é uma medida de interesse público, que contribui para a eficiência da gestão municipal</w:t>
      </w:r>
      <w:r w:rsidR="007B2107">
        <w:rPr>
          <w:rFonts w:ascii="Calibri" w:eastAsia="Arial" w:hAnsi="Calibri" w:cs="Arial"/>
          <w:color w:val="000000"/>
          <w:sz w:val="24"/>
          <w:szCs w:val="24"/>
        </w:rPr>
        <w:t>. Dessa forma,</w:t>
      </w:r>
      <w:r w:rsidR="004E0083">
        <w:rPr>
          <w:rFonts w:ascii="Calibri" w:eastAsia="Arial" w:hAnsi="Calibri" w:cs="Arial"/>
          <w:color w:val="000000"/>
          <w:sz w:val="24"/>
          <w:szCs w:val="24"/>
        </w:rPr>
        <w:t xml:space="preserve"> </w:t>
      </w:r>
      <w:r w:rsidR="003A042E">
        <w:rPr>
          <w:rFonts w:ascii="Calibri" w:eastAsia="Arial" w:hAnsi="Calibri" w:cs="Arial"/>
          <w:color w:val="000000"/>
          <w:sz w:val="24"/>
          <w:szCs w:val="24"/>
        </w:rPr>
        <w:t>n</w:t>
      </w:r>
      <w:r w:rsidRPr="00DC0C75">
        <w:rPr>
          <w:rFonts w:ascii="Calibri" w:eastAsia="Arial" w:hAnsi="Calibri" w:cs="Arial"/>
          <w:color w:val="000000"/>
          <w:sz w:val="24"/>
          <w:szCs w:val="24"/>
        </w:rPr>
        <w:t>ão identifica</w:t>
      </w:r>
      <w:r w:rsidR="003A042E">
        <w:rPr>
          <w:rFonts w:ascii="Calibri" w:eastAsia="Arial" w:hAnsi="Calibri" w:cs="Arial"/>
          <w:color w:val="000000"/>
          <w:sz w:val="24"/>
          <w:szCs w:val="24"/>
        </w:rPr>
        <w:t>mos</w:t>
      </w:r>
      <w:r w:rsidRPr="00DC0C75">
        <w:rPr>
          <w:rFonts w:ascii="Calibri" w:eastAsia="Arial" w:hAnsi="Calibri" w:cs="Arial"/>
          <w:color w:val="000000"/>
          <w:sz w:val="24"/>
          <w:szCs w:val="24"/>
        </w:rPr>
        <w:t xml:space="preserve"> óbice</w:t>
      </w:r>
      <w:r w:rsidR="003A042E">
        <w:rPr>
          <w:rFonts w:ascii="Calibri" w:eastAsia="Arial" w:hAnsi="Calibri" w:cs="Arial"/>
          <w:color w:val="000000"/>
          <w:sz w:val="24"/>
          <w:szCs w:val="24"/>
        </w:rPr>
        <w:t>s</w:t>
      </w:r>
      <w:r w:rsidRPr="00DC0C75">
        <w:rPr>
          <w:rFonts w:ascii="Calibri" w:eastAsia="Arial" w:hAnsi="Calibri" w:cs="Arial"/>
          <w:color w:val="000000"/>
          <w:sz w:val="24"/>
          <w:szCs w:val="24"/>
        </w:rPr>
        <w:t xml:space="preserve"> para a sua regular tramitação e aprovação por esta Casa Legislativa.</w:t>
      </w:r>
    </w:p>
    <w:p w:rsidR="002C4D05" w:rsidP="00DC0C75">
      <w:pPr>
        <w:pStyle w:val="BodyText"/>
        <w:spacing w:before="240" w:after="240" w:line="240" w:lineRule="auto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</w:p>
    <w:p w:rsidR="008615FD" w:rsidRPr="00A77DA2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III. Substitutivos, Emendas ou subemendas ao Projeto</w:t>
      </w:r>
    </w:p>
    <w:p w:rsidR="000D56C3" w:rsidP="00C715B4">
      <w:pPr>
        <w:pStyle w:val="BodyText"/>
        <w:spacing w:before="240" w:after="0" w:line="240" w:lineRule="auto"/>
        <w:ind w:firstLine="708"/>
        <w:jc w:val="both"/>
        <w:rPr>
          <w:rFonts w:ascii="Calibri" w:hAnsi="Calibri"/>
          <w:color w:val="000000"/>
          <w:sz w:val="24"/>
          <w:szCs w:val="24"/>
        </w:rPr>
      </w:pPr>
      <w:r w:rsidRPr="00C715B4">
        <w:rPr>
          <w:rFonts w:ascii="Calibri" w:hAnsi="Calibri"/>
          <w:color w:val="000000"/>
          <w:sz w:val="24"/>
          <w:szCs w:val="24"/>
        </w:rPr>
        <w:t xml:space="preserve">Não </w:t>
      </w:r>
      <w:r>
        <w:rPr>
          <w:rFonts w:ascii="Calibri" w:hAnsi="Calibri"/>
          <w:color w:val="000000"/>
          <w:sz w:val="24"/>
          <w:szCs w:val="24"/>
        </w:rPr>
        <w:t>propomos</w:t>
      </w:r>
      <w:r w:rsidRPr="00C715B4">
        <w:rPr>
          <w:rFonts w:ascii="Calibri" w:hAnsi="Calibri"/>
          <w:color w:val="000000"/>
          <w:sz w:val="24"/>
          <w:szCs w:val="24"/>
        </w:rPr>
        <w:t xml:space="preserve"> substitutivos, emendas ou subemendas a este projeto.</w:t>
      </w:r>
    </w:p>
    <w:p w:rsidR="002C4D05" w:rsidP="00C715B4">
      <w:pPr>
        <w:pStyle w:val="BodyText"/>
        <w:spacing w:before="240" w:after="0" w:line="240" w:lineRule="auto"/>
        <w:ind w:firstLine="708"/>
        <w:jc w:val="both"/>
        <w:rPr>
          <w:rFonts w:ascii="Calibri" w:hAnsi="Calibri"/>
          <w:color w:val="000000"/>
          <w:sz w:val="24"/>
          <w:szCs w:val="24"/>
        </w:rPr>
      </w:pPr>
    </w:p>
    <w:p w:rsidR="008615FD" w:rsidRPr="00A77DA2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IV. Decisão da Relatora</w:t>
      </w:r>
    </w:p>
    <w:p w:rsidR="008615FD" w:rsidRPr="00A77DA2">
      <w:pPr>
        <w:pStyle w:val="BodyText"/>
        <w:spacing w:before="240" w:after="0" w:line="240" w:lineRule="auto"/>
        <w:jc w:val="both"/>
        <w:rPr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</w:r>
      <w:r w:rsidRPr="00A77DA2" w:rsidR="00352E5F">
        <w:rPr>
          <w:rFonts w:ascii="Calibri" w:hAnsi="Calibri"/>
          <w:color w:val="000000"/>
          <w:sz w:val="24"/>
          <w:szCs w:val="24"/>
        </w:rPr>
        <w:t>Diante de todo exposto</w:t>
      </w:r>
      <w:r w:rsidRPr="00A77DA2">
        <w:rPr>
          <w:rFonts w:ascii="Calibri" w:hAnsi="Calibri"/>
          <w:color w:val="000000"/>
          <w:sz w:val="24"/>
          <w:szCs w:val="24"/>
          <w:shd w:val="clear" w:color="auto" w:fill="FFFFFF"/>
        </w:rPr>
        <w:t>, esta Relatoria considera que a presente propositura não apresenta vícios, recebendo parecer FAVORÁVEL</w:t>
      </w:r>
      <w:r w:rsidRPr="00A77DA2">
        <w:rPr>
          <w:rFonts w:ascii="Calibri" w:hAnsi="Calibri"/>
          <w:color w:val="000000"/>
          <w:sz w:val="24"/>
          <w:szCs w:val="24"/>
        </w:rPr>
        <w:t>.</w:t>
      </w:r>
    </w:p>
    <w:p w:rsidR="008615FD" w:rsidRPr="00A77DA2">
      <w:pPr>
        <w:pStyle w:val="BodyText"/>
        <w:spacing w:before="240" w:after="0" w:line="240" w:lineRule="auto"/>
        <w:jc w:val="center"/>
        <w:rPr>
          <w:sz w:val="24"/>
          <w:szCs w:val="24"/>
        </w:rPr>
      </w:pPr>
    </w:p>
    <w:p w:rsidR="008615FD" w:rsidRPr="00A77DA2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/>
          <w:color w:val="000000"/>
          <w:sz w:val="24"/>
          <w:szCs w:val="24"/>
          <w:shd w:val="clear" w:color="auto" w:fill="FFFFFF"/>
        </w:rPr>
        <w:t>Sala das Comissões, em 1</w:t>
      </w:r>
      <w:r w:rsidR="00126FA6">
        <w:rPr>
          <w:rFonts w:ascii="Calibri" w:hAnsi="Calibri"/>
          <w:color w:val="000000"/>
          <w:sz w:val="24"/>
          <w:szCs w:val="24"/>
          <w:shd w:val="clear" w:color="auto" w:fill="FFFFFF"/>
        </w:rPr>
        <w:t>7</w:t>
      </w:r>
      <w:r w:rsidRPr="00A77DA2" w:rsidR="0072400E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</w:t>
      </w:r>
      <w:r w:rsidR="001D5154">
        <w:rPr>
          <w:rFonts w:ascii="Calibri" w:hAnsi="Calibri"/>
          <w:color w:val="000000"/>
          <w:sz w:val="24"/>
          <w:szCs w:val="24"/>
          <w:shd w:val="clear" w:color="auto" w:fill="FFFFFF"/>
        </w:rPr>
        <w:t>junho</w:t>
      </w:r>
      <w:r w:rsidRPr="00A77DA2" w:rsidR="00352E5F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202</w:t>
      </w:r>
      <w:r w:rsidRPr="00A77DA2" w:rsidR="00D16D19">
        <w:rPr>
          <w:rFonts w:ascii="Calibri" w:hAnsi="Calibri"/>
          <w:color w:val="000000"/>
          <w:sz w:val="24"/>
          <w:szCs w:val="24"/>
          <w:shd w:val="clear" w:color="auto" w:fill="FFFFFF"/>
        </w:rPr>
        <w:t>5</w:t>
      </w:r>
      <w:r w:rsidRPr="00A77DA2" w:rsidR="0072400E">
        <w:rPr>
          <w:rFonts w:ascii="Calibri" w:hAnsi="Calibri"/>
          <w:color w:val="000000"/>
          <w:sz w:val="24"/>
          <w:szCs w:val="24"/>
          <w:shd w:val="clear" w:color="auto" w:fill="FFFFFF"/>
        </w:rPr>
        <w:t>.</w:t>
      </w:r>
    </w:p>
    <w:p w:rsidR="008615FD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</w:p>
    <w:p w:rsidR="008615FD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</w:p>
    <w:p w:rsidR="008615FD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</w:p>
    <w:p w:rsidR="008615FD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</w:p>
    <w:p w:rsidR="008615FD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Vereadora Mara Cristina Choquetta</w:t>
      </w:r>
    </w:p>
    <w:p w:rsidR="008615FD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 xml:space="preserve">Relatora </w:t>
      </w:r>
    </w:p>
    <w:p w:rsidR="008615FD" w:rsidRPr="00A77DA2">
      <w:pPr>
        <w:pStyle w:val="BodyText"/>
        <w:spacing w:line="240" w:lineRule="auto"/>
        <w:jc w:val="both"/>
        <w:rPr>
          <w:sz w:val="24"/>
          <w:szCs w:val="24"/>
        </w:rPr>
      </w:pPr>
    </w:p>
    <w:p w:rsidR="008615FD" w:rsidRPr="00A77DA2">
      <w:pPr>
        <w:pStyle w:val="BodyText"/>
        <w:spacing w:line="240" w:lineRule="auto"/>
        <w:jc w:val="both"/>
        <w:rPr>
          <w:sz w:val="24"/>
          <w:szCs w:val="24"/>
        </w:rPr>
      </w:pPr>
    </w:p>
    <w:p w:rsidR="00C715B4">
      <w:pPr>
        <w:overflowPunct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615FD" w:rsidRPr="00A77DA2" w:rsidP="006F0330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 xml:space="preserve">PARECER FAVORÁVEL CONJUNTO </w:t>
      </w:r>
      <w:r w:rsidRPr="00A77DA2" w:rsidR="0072400E">
        <w:rPr>
          <w:rFonts w:ascii="Calibri" w:hAnsi="Calibri"/>
          <w:b/>
          <w:color w:val="000000"/>
          <w:sz w:val="24"/>
          <w:szCs w:val="24"/>
        </w:rPr>
        <w:t>DA</w:t>
      </w:r>
      <w:r w:rsidRPr="00A77DA2">
        <w:rPr>
          <w:rFonts w:ascii="Calibri" w:hAnsi="Calibri"/>
          <w:b/>
          <w:color w:val="000000"/>
          <w:sz w:val="24"/>
          <w:szCs w:val="24"/>
        </w:rPr>
        <w:t>S COMISSÕES</w:t>
      </w:r>
      <w:r w:rsidR="00C715B4">
        <w:rPr>
          <w:rFonts w:ascii="Calibri" w:hAnsi="Calibri"/>
          <w:b/>
          <w:color w:val="000000"/>
          <w:sz w:val="24"/>
          <w:szCs w:val="24"/>
        </w:rPr>
        <w:t xml:space="preserve"> DE JUSTIÇA E REDAÇÃO </w:t>
      </w:r>
      <w:r w:rsidR="00590B40">
        <w:rPr>
          <w:rFonts w:ascii="Calibri" w:hAnsi="Calibri"/>
          <w:b/>
          <w:color w:val="000000"/>
          <w:sz w:val="24"/>
          <w:szCs w:val="24"/>
        </w:rPr>
        <w:t>E</w:t>
      </w:r>
      <w:r w:rsidR="000D56C3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Pr="00A77DA2" w:rsidR="0072400E">
        <w:rPr>
          <w:rFonts w:ascii="Calibri" w:hAnsi="Calibri"/>
          <w:b/>
          <w:color w:val="000000"/>
          <w:sz w:val="24"/>
          <w:szCs w:val="24"/>
        </w:rPr>
        <w:t>DE FINANÇAS E ORÇAMENTO.</w:t>
      </w:r>
    </w:p>
    <w:p w:rsidR="008615FD" w:rsidRPr="00A77DA2">
      <w:pPr>
        <w:pStyle w:val="BodyText"/>
        <w:spacing w:before="240" w:after="0" w:line="240" w:lineRule="auto"/>
        <w:jc w:val="both"/>
        <w:rPr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>Seguindo o Voto exarado pela Relatora e conforme determinam os artigos 35</w:t>
      </w:r>
      <w:r w:rsidR="00C715B4">
        <w:rPr>
          <w:rFonts w:ascii="Calibri" w:hAnsi="Calibri"/>
          <w:color w:val="000000"/>
          <w:sz w:val="24"/>
          <w:szCs w:val="24"/>
        </w:rPr>
        <w:t xml:space="preserve"> e</w:t>
      </w:r>
      <w:r w:rsidRPr="00A77DA2">
        <w:rPr>
          <w:rFonts w:ascii="Calibri" w:hAnsi="Calibri"/>
          <w:color w:val="000000"/>
          <w:sz w:val="24"/>
          <w:szCs w:val="24"/>
        </w:rPr>
        <w:t xml:space="preserve"> 37, combinado com artigo 45, da Resolução n.º 276 de 09 de novembro de 2.010, a</w:t>
      </w:r>
      <w:r w:rsidR="000D56C3">
        <w:rPr>
          <w:rFonts w:ascii="Calibri" w:hAnsi="Calibri"/>
          <w:color w:val="000000"/>
          <w:sz w:val="24"/>
          <w:szCs w:val="24"/>
        </w:rPr>
        <w:t>s Comissões</w:t>
      </w:r>
      <w:r w:rsidR="00590B40">
        <w:rPr>
          <w:rFonts w:ascii="Calibri" w:hAnsi="Calibri"/>
          <w:color w:val="000000"/>
          <w:sz w:val="24"/>
          <w:szCs w:val="24"/>
        </w:rPr>
        <w:t xml:space="preserve"> de Justiça e Redação</w:t>
      </w:r>
      <w:r w:rsidR="00C715B4">
        <w:rPr>
          <w:rFonts w:ascii="Calibri" w:hAnsi="Calibri"/>
          <w:color w:val="000000"/>
          <w:sz w:val="24"/>
          <w:szCs w:val="24"/>
        </w:rPr>
        <w:t xml:space="preserve"> </w:t>
      </w:r>
      <w:r w:rsidR="000D56C3">
        <w:rPr>
          <w:rFonts w:ascii="Calibri" w:hAnsi="Calibri"/>
          <w:color w:val="000000"/>
          <w:sz w:val="24"/>
          <w:szCs w:val="24"/>
        </w:rPr>
        <w:t xml:space="preserve">e </w:t>
      </w:r>
      <w:r w:rsidRPr="00A77DA2">
        <w:rPr>
          <w:rFonts w:ascii="Calibri" w:hAnsi="Calibri"/>
          <w:color w:val="000000"/>
          <w:sz w:val="24"/>
          <w:szCs w:val="24"/>
        </w:rPr>
        <w:t xml:space="preserve">de Finanças e Orçamento, formalizam o presente </w:t>
      </w:r>
      <w:r w:rsidRPr="00A77DA2">
        <w:rPr>
          <w:rFonts w:ascii="Calibri" w:hAnsi="Calibri"/>
          <w:b/>
          <w:color w:val="000000"/>
          <w:sz w:val="24"/>
          <w:szCs w:val="24"/>
        </w:rPr>
        <w:t>PARECER FAVORÁVEL</w:t>
      </w:r>
      <w:r w:rsidRPr="00A77DA2">
        <w:rPr>
          <w:rFonts w:ascii="Calibri" w:hAnsi="Calibri"/>
          <w:color w:val="000000"/>
          <w:sz w:val="24"/>
          <w:szCs w:val="24"/>
        </w:rPr>
        <w:t>.</w:t>
      </w:r>
    </w:p>
    <w:p w:rsidR="00C715B4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4"/>
          <w:szCs w:val="24"/>
          <w:shd w:val="clear" w:color="auto" w:fill="FFFFFF"/>
        </w:rPr>
      </w:pPr>
    </w:p>
    <w:p w:rsidR="008615FD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/>
          <w:color w:val="000000"/>
          <w:sz w:val="24"/>
          <w:szCs w:val="24"/>
          <w:shd w:val="clear" w:color="auto" w:fill="FFFFFF"/>
        </w:rPr>
        <w:t>Sa</w:t>
      </w:r>
      <w:r w:rsidR="00C715B4">
        <w:rPr>
          <w:rFonts w:ascii="Calibri" w:hAnsi="Calibri"/>
          <w:color w:val="000000"/>
          <w:sz w:val="24"/>
          <w:szCs w:val="24"/>
          <w:shd w:val="clear" w:color="auto" w:fill="FFFFFF"/>
        </w:rPr>
        <w:t>la das Comissões, em 1</w:t>
      </w:r>
      <w:r w:rsidR="00126FA6">
        <w:rPr>
          <w:rFonts w:ascii="Calibri" w:hAnsi="Calibri"/>
          <w:color w:val="000000"/>
          <w:sz w:val="24"/>
          <w:szCs w:val="24"/>
          <w:shd w:val="clear" w:color="auto" w:fill="FFFFFF"/>
        </w:rPr>
        <w:t>7</w:t>
      </w:r>
      <w:bookmarkStart w:id="1" w:name="_GoBack"/>
      <w:bookmarkEnd w:id="1"/>
      <w:r w:rsidRPr="00A77DA2" w:rsidR="00D16D19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</w:t>
      </w:r>
      <w:r w:rsidR="000D56C3">
        <w:rPr>
          <w:rFonts w:ascii="Calibri" w:hAnsi="Calibri"/>
          <w:color w:val="000000"/>
          <w:sz w:val="24"/>
          <w:szCs w:val="24"/>
          <w:shd w:val="clear" w:color="auto" w:fill="FFFFFF"/>
        </w:rPr>
        <w:t>junho</w:t>
      </w:r>
      <w:r w:rsidRPr="00A77DA2" w:rsidR="00352E5F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202</w:t>
      </w:r>
      <w:r w:rsidRPr="00A77DA2" w:rsidR="00D16D19">
        <w:rPr>
          <w:rFonts w:ascii="Calibri" w:hAnsi="Calibri"/>
          <w:color w:val="000000"/>
          <w:sz w:val="24"/>
          <w:szCs w:val="24"/>
          <w:shd w:val="clear" w:color="auto" w:fill="FFFFFF"/>
        </w:rPr>
        <w:t>5</w:t>
      </w:r>
      <w:r w:rsidRPr="00A77DA2">
        <w:rPr>
          <w:rFonts w:ascii="Calibri" w:hAnsi="Calibri"/>
          <w:color w:val="000000"/>
          <w:sz w:val="24"/>
          <w:szCs w:val="24"/>
          <w:shd w:val="clear" w:color="auto" w:fill="FFFFFF"/>
        </w:rPr>
        <w:t>.</w:t>
      </w:r>
    </w:p>
    <w:p w:rsidR="00B47D6A" w:rsidRPr="00A77DA2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4"/>
          <w:szCs w:val="24"/>
          <w:shd w:val="clear" w:color="auto" w:fill="FFFFFF"/>
        </w:rPr>
      </w:pPr>
    </w:p>
    <w:p w:rsidR="001B6F9C" w:rsidP="001B6F9C">
      <w:pPr>
        <w:pStyle w:val="BodyText"/>
        <w:spacing w:line="240" w:lineRule="auto"/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A77DA2">
        <w:rPr>
          <w:sz w:val="24"/>
          <w:szCs w:val="24"/>
        </w:rPr>
        <w:br/>
      </w:r>
      <w:r w:rsidRPr="00A77DA2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D16D19" w:rsidRPr="00A77DA2" w:rsidP="001B6F9C">
      <w:pPr>
        <w:pStyle w:val="BodyText"/>
        <w:spacing w:line="240" w:lineRule="auto"/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D16D19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VEREADOR MANOEL EDUARDO PEREIRA DA CRUZ PALOMINO </w:t>
      </w:r>
    </w:p>
    <w:p w:rsidR="00D16D19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JOÃO VICTOR COUTINHO GASPARINI</w:t>
      </w: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Membro </w:t>
      </w:r>
    </w:p>
    <w:p w:rsidR="000D56C3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0D56C3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D16D19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0D56C3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D16D19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Presidente/Relatora </w:t>
      </w: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D16D19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8615FD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 w:rsidRPr="00312C6E">
    <w:pPr>
      <w:pStyle w:val="Footer"/>
      <w:jc w:val="center"/>
      <w:rPr>
        <w:rFonts w:asciiTheme="majorHAnsi" w:hAnsiTheme="majorHAnsi" w:cstheme="majorHAnsi"/>
        <w:i/>
        <w:sz w:val="18"/>
      </w:rPr>
    </w:pPr>
    <w:r>
      <w:rPr>
        <w:rFonts w:asciiTheme="majorHAnsi" w:hAnsiTheme="majorHAnsi" w:cstheme="majorHAnsi"/>
        <w:i/>
        <w:sz w:val="18"/>
      </w:rPr>
      <w:t>Parecer Conjunto PL</w:t>
    </w:r>
    <w:r w:rsidR="003D1823">
      <w:rPr>
        <w:rFonts w:asciiTheme="majorHAnsi" w:hAnsiTheme="majorHAnsi" w:cstheme="majorHAnsi"/>
        <w:i/>
        <w:sz w:val="18"/>
      </w:rPr>
      <w:t>C</w:t>
    </w:r>
    <w:r>
      <w:rPr>
        <w:rFonts w:asciiTheme="majorHAnsi" w:hAnsiTheme="majorHAnsi" w:cstheme="majorHAnsi"/>
        <w:i/>
        <w:sz w:val="18"/>
      </w:rPr>
      <w:t xml:space="preserve"> nº </w:t>
    </w:r>
    <w:r w:rsidR="003D1823">
      <w:rPr>
        <w:rFonts w:asciiTheme="majorHAnsi" w:hAnsiTheme="majorHAnsi" w:cstheme="majorHAnsi"/>
        <w:i/>
        <w:sz w:val="18"/>
      </w:rPr>
      <w:t>09</w:t>
    </w:r>
    <w:r w:rsidR="00312C6E">
      <w:rPr>
        <w:rFonts w:asciiTheme="majorHAnsi" w:hAnsiTheme="majorHAnsi" w:cstheme="majorHAnsi"/>
        <w:i/>
        <w:sz w:val="18"/>
      </w:rPr>
      <w:t xml:space="preserve">/2025 - </w:t>
    </w:r>
    <w:r w:rsidRPr="00312C6E" w:rsidR="00312C6E">
      <w:rPr>
        <w:rFonts w:asciiTheme="majorHAnsi" w:hAnsiTheme="majorHAnsi" w:cstheme="majorHAnsi"/>
        <w:i/>
        <w:sz w:val="18"/>
      </w:rPr>
      <w:t>Documento ass</w:t>
    </w:r>
    <w:r w:rsidR="00312C6E">
      <w:rPr>
        <w:rFonts w:asciiTheme="majorHAnsi" w:hAnsiTheme="majorHAnsi" w:cstheme="majorHAnsi"/>
        <w:i/>
        <w:sz w:val="18"/>
      </w:rPr>
      <w:t>inado digitalmente.</w:t>
    </w:r>
    <w:r w:rsidRPr="00312C6E" w:rsidR="00312C6E">
      <w:rPr>
        <w:rFonts w:asciiTheme="majorHAnsi" w:hAnsiTheme="majorHAnsi" w:cstheme="majorHAnsi"/>
        <w:i/>
        <w:sz w:val="18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332305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15FD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8615FD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FA4A0D"/>
    <w:multiLevelType w:val="hybridMultilevel"/>
    <w:tmpl w:val="E02201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FD"/>
    <w:rsid w:val="00011712"/>
    <w:rsid w:val="000A2A86"/>
    <w:rsid w:val="000D56C3"/>
    <w:rsid w:val="00126FA6"/>
    <w:rsid w:val="00162E70"/>
    <w:rsid w:val="00166F99"/>
    <w:rsid w:val="00184F8A"/>
    <w:rsid w:val="001B6F9C"/>
    <w:rsid w:val="001D5154"/>
    <w:rsid w:val="0026737C"/>
    <w:rsid w:val="00291128"/>
    <w:rsid w:val="002B35EA"/>
    <w:rsid w:val="002B456D"/>
    <w:rsid w:val="002C4D05"/>
    <w:rsid w:val="002F68A9"/>
    <w:rsid w:val="00303D54"/>
    <w:rsid w:val="00312C6E"/>
    <w:rsid w:val="00352E5F"/>
    <w:rsid w:val="003609C7"/>
    <w:rsid w:val="00391092"/>
    <w:rsid w:val="003A042E"/>
    <w:rsid w:val="003B42B3"/>
    <w:rsid w:val="003D1823"/>
    <w:rsid w:val="00405197"/>
    <w:rsid w:val="004239E5"/>
    <w:rsid w:val="004E0083"/>
    <w:rsid w:val="00566ADE"/>
    <w:rsid w:val="00590B40"/>
    <w:rsid w:val="005C6BA4"/>
    <w:rsid w:val="005C72C3"/>
    <w:rsid w:val="005D6DB5"/>
    <w:rsid w:val="005F093F"/>
    <w:rsid w:val="006179A4"/>
    <w:rsid w:val="00657540"/>
    <w:rsid w:val="006E45E6"/>
    <w:rsid w:val="006F0330"/>
    <w:rsid w:val="00704339"/>
    <w:rsid w:val="0072400E"/>
    <w:rsid w:val="00744728"/>
    <w:rsid w:val="00755A4C"/>
    <w:rsid w:val="00762586"/>
    <w:rsid w:val="007B2107"/>
    <w:rsid w:val="007D5B4C"/>
    <w:rsid w:val="008053EA"/>
    <w:rsid w:val="00852239"/>
    <w:rsid w:val="008615FD"/>
    <w:rsid w:val="00864A08"/>
    <w:rsid w:val="00922054"/>
    <w:rsid w:val="0092719F"/>
    <w:rsid w:val="009F0C12"/>
    <w:rsid w:val="00A5668E"/>
    <w:rsid w:val="00A56A09"/>
    <w:rsid w:val="00A65BA7"/>
    <w:rsid w:val="00A72336"/>
    <w:rsid w:val="00A77DA2"/>
    <w:rsid w:val="00A8293C"/>
    <w:rsid w:val="00B1218F"/>
    <w:rsid w:val="00B22D9F"/>
    <w:rsid w:val="00B4421D"/>
    <w:rsid w:val="00B47D6A"/>
    <w:rsid w:val="00B763F8"/>
    <w:rsid w:val="00BB195C"/>
    <w:rsid w:val="00BB7BAE"/>
    <w:rsid w:val="00BD66A6"/>
    <w:rsid w:val="00C2465C"/>
    <w:rsid w:val="00C41B57"/>
    <w:rsid w:val="00C715B4"/>
    <w:rsid w:val="00C84EDF"/>
    <w:rsid w:val="00C96EEB"/>
    <w:rsid w:val="00CF788D"/>
    <w:rsid w:val="00D16D19"/>
    <w:rsid w:val="00D508C2"/>
    <w:rsid w:val="00D72EDC"/>
    <w:rsid w:val="00D87F12"/>
    <w:rsid w:val="00D905CD"/>
    <w:rsid w:val="00DB7BFC"/>
    <w:rsid w:val="00DC0C75"/>
    <w:rsid w:val="00DC5438"/>
    <w:rsid w:val="00E851C4"/>
    <w:rsid w:val="00F912D7"/>
    <w:rsid w:val="00F938B8"/>
    <w:rsid w:val="00F94175"/>
    <w:rsid w:val="00FD0E69"/>
    <w:rsid w:val="00FE4021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6459D4D-9B4B-4387-AEC1-CC68BC6E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684C3-7666-448A-850C-91B8EE65F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1431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cp:lastPrinted>2025-06-16T18:05:00Z</cp:lastPrinted>
  <dcterms:created xsi:type="dcterms:W3CDTF">2025-06-17T12:23:00Z</dcterms:created>
  <dcterms:modified xsi:type="dcterms:W3CDTF">2025-06-17T12:23:00Z</dcterms:modified>
  <dc:language>pt-BR</dc:language>
</cp:coreProperties>
</file>