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A74629" w14:paraId="18444064" w14:textId="7777777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Substitutivo Nº 1 ao Projeto de Lei Nº 65/2025</w:t>
      </w:r>
    </w:p>
    <w:p w:rsidR="00B74677" w:rsidP="00A74629" w14:paraId="525FEE2E" w14:textId="4C7A68C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P="00A74629" w14:paraId="13D0A325" w14:textId="77777777">
      <w:pPr>
        <w:spacing w:line="360" w:lineRule="auto"/>
      </w:pPr>
    </w:p>
    <w:p w:rsidR="00B74677" w:rsidP="00A74629" w14:paraId="6F2ED83E" w14:textId="7811A8F6">
      <w:pPr>
        <w:spacing w:line="360" w:lineRule="auto"/>
      </w:pPr>
      <w:r>
        <w:tab/>
      </w:r>
      <w:r>
        <w:tab/>
      </w:r>
      <w:r>
        <w:tab/>
      </w:r>
    </w:p>
    <w:p w:rsidR="00524AD9" w:rsidRPr="00524AD9" w:rsidP="00A74629" w14:paraId="5E46AC2A" w14:textId="684581A9">
      <w:pPr>
        <w:suppressAutoHyphens/>
        <w:spacing w:line="36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 NO CALENDÁRIO OFICIAL DE EVENTOS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MUNICÍPIO DE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MOGI MIRIM</w:t>
      </w:r>
      <w:r w:rsid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“BARMINHADA DELAS” E DÁ OUTRAS PROVIDÊNCIAS.</w:t>
      </w:r>
    </w:p>
    <w:p w:rsidR="00D37305" w:rsidRPr="00D37305" w:rsidP="00A74629" w14:paraId="7E17679A" w14:textId="77777777">
      <w:pPr>
        <w:pStyle w:val="PlainText"/>
        <w:spacing w:line="360" w:lineRule="auto"/>
        <w:rPr>
          <w:rFonts w:ascii="Times New Roman" w:hAnsi="Times New Roman"/>
          <w:b/>
          <w:sz w:val="24"/>
        </w:rPr>
      </w:pPr>
    </w:p>
    <w:p w:rsidR="00D37305" w:rsidRPr="00D37305" w:rsidP="00A74629" w14:paraId="62EE6871" w14:textId="77777777">
      <w:pPr>
        <w:pStyle w:val="PlainText"/>
        <w:spacing w:line="360" w:lineRule="auto"/>
        <w:ind w:firstLine="709"/>
        <w:rPr>
          <w:rFonts w:ascii="Times New Roman" w:hAnsi="Times New Roman"/>
          <w:sz w:val="24"/>
        </w:rPr>
      </w:pPr>
    </w:p>
    <w:p w:rsidR="00524AD9" w:rsidRPr="00524AD9" w:rsidP="00A74629" w14:paraId="73A0AAD8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Mogi Mirim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:rsidR="00524AD9" w:rsidRPr="00524AD9" w:rsidP="00A74629" w14:paraId="75C702FF" w14:textId="777777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t-BR"/>
        </w:rPr>
      </w:pPr>
    </w:p>
    <w:p w:rsidR="00A74629" w:rsidRPr="00A74629" w:rsidP="00A74629" w14:paraId="44862858" w14:textId="69C680A6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1º 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no Calendário Oficial de Eventos do Município de Mogi Mirim a "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Delas", a ser celebrada anualmente no mês de outubro.</w:t>
      </w:r>
    </w:p>
    <w:p w:rsidR="00524AD9" w:rsidRPr="00524AD9" w:rsidP="00A74629" w14:paraId="6ECAEB71" w14:textId="613C7AB0">
      <w:pPr>
        <w:suppressAutoHyphens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 A "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Barminhada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Delas" é uma celebração de caráter gastronômico, social e turístico, voltada ao público feminino, com envolvimento dos bares e restaurantes 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locais.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24AD9" w:rsidRPr="00524AD9" w:rsidP="00A74629" w14:paraId="79B74329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AD9" w:rsidP="00A74629" w14:paraId="5CAD903F" w14:textId="0201624A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Os órgãos municipais, esp</w:t>
      </w:r>
      <w:r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ecialmente das áreas de Cultura e Turismo, 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poderão, de forma voluntária e conforme a disponibilidade orçamentária, colaborar na promoção e articulação institucional da "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Delas" junto aos bares participantes e demais envolvidos, observada a legislação vigente.</w:t>
      </w:r>
    </w:p>
    <w:p w:rsidR="00A74629" w:rsidRPr="00524AD9" w:rsidP="00A74629" w14:paraId="7F42417C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4AD9" w:rsidP="00A74629" w14:paraId="09839CAD" w14:textId="24ED77C0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524A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524A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"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A74629" w:rsid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Delas" terá finalidade econômica, por meio da mobilização dos estabelecimentos gastronômicos e da exploração comercial da marca, e finalidade social, incentivando os organizadores a destinarem, de forma voluntária, os recursos arrecadados a ações de promoção da saúde e do bem-estar da mulher, em consonância com campanhas como o Outubro Rosa.</w:t>
      </w:r>
    </w:p>
    <w:p w:rsidR="00A74629" w:rsidP="00A74629" w14:paraId="2BD72271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4629" w:rsidP="00A74629" w14:paraId="4517C742" w14:textId="75E00E61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organização da "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>Barminhada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Delas" será realizada por grupo autônomo de cidadãs e parceiros locais, sendo a participação do Poder Público de caráter colaborativo, observada a legislação vigente.</w:t>
      </w:r>
    </w:p>
    <w:p w:rsidR="00A74629" w:rsidP="00A74629" w14:paraId="2F9499E6" w14:textId="6DAA2633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Lei, se houver, serão custeadas por dotações orçamentárias próprias, suplementadas se necessário, observadas a disponibilidade financeira e a conveniência administrativa.</w:t>
      </w:r>
    </w:p>
    <w:p w:rsidR="00A74629" w:rsidP="00A74629" w14:paraId="77510E35" w14:textId="77777777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4629" w:rsidRPr="00524AD9" w:rsidP="00A74629" w14:paraId="33886146" w14:textId="2A4F4CC3">
      <w:pPr>
        <w:suppressAutoHyphens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6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A74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524AD9" w:rsidRPr="00524AD9" w:rsidP="00A74629" w14:paraId="191E5FE2" w14:textId="77777777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677" w:rsidRPr="00B74677" w:rsidP="00A74629" w14:paraId="58584AD2" w14:textId="31758AA5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B74677" w:rsidRPr="00B74677" w:rsidP="00A74629" w14:paraId="4E3B2DAF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CB657A" w:rsidP="00A74629" w14:paraId="4F5472C8" w14:textId="774755EC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r w:rsidRPr="00B74677">
        <w:rPr>
          <w:rFonts w:ascii="Times New Roman" w:hAnsi="Times New Roman"/>
          <w:sz w:val="24"/>
        </w:rPr>
        <w:t>Róttoli</w:t>
      </w:r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A74629">
        <w:rPr>
          <w:rFonts w:ascii="Times New Roman" w:hAnsi="Times New Roman"/>
          <w:sz w:val="24"/>
        </w:rPr>
        <w:t>24</w:t>
      </w:r>
      <w:r w:rsidR="00D37305">
        <w:rPr>
          <w:rFonts w:ascii="Times New Roman" w:hAnsi="Times New Roman"/>
          <w:sz w:val="24"/>
        </w:rPr>
        <w:t xml:space="preserve"> de </w:t>
      </w:r>
      <w:r w:rsidR="00A74629">
        <w:rPr>
          <w:rFonts w:ascii="Times New Roman" w:hAnsi="Times New Roman"/>
          <w:sz w:val="24"/>
        </w:rPr>
        <w:t>junho</w:t>
      </w:r>
      <w:r w:rsidR="00D37305">
        <w:rPr>
          <w:rFonts w:ascii="Times New Roman" w:hAnsi="Times New Roman"/>
          <w:sz w:val="24"/>
        </w:rPr>
        <w:t xml:space="preserve"> de 20</w:t>
      </w:r>
      <w:r w:rsidR="00A74629">
        <w:rPr>
          <w:rFonts w:ascii="Times New Roman" w:hAnsi="Times New Roman"/>
          <w:sz w:val="24"/>
        </w:rPr>
        <w:t>25.</w:t>
      </w:r>
    </w:p>
    <w:p w:rsidR="00B74677" w:rsidP="00A74629" w14:paraId="75C4452F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B74677" w:rsidP="00A74629" w14:paraId="059F16D0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B74677" w:rsidP="00A74629" w14:paraId="433ACB0E" w14:textId="77777777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D37305" w:rsidP="00A74629" w14:paraId="56B11927" w14:textId="67422DD8">
      <w:pPr>
        <w:pStyle w:val="PlainText"/>
        <w:spacing w:line="360" w:lineRule="auto"/>
        <w:rPr>
          <w:rFonts w:ascii="Times New Roman" w:hAnsi="Times New Roman"/>
          <w:sz w:val="24"/>
        </w:rPr>
      </w:pPr>
    </w:p>
    <w:p w:rsidR="00C4470E" w:rsidP="00A74629" w14:paraId="4981CB15" w14:textId="77777777">
      <w:pPr>
        <w:pStyle w:val="PlainText"/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C4470E" w:rsidP="00A74629" w14:paraId="1358BE3F" w14:textId="04D90F3A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A74629">
        <w:rPr>
          <w:rFonts w:ascii="Times New Roman" w:hAnsi="Times New Roman"/>
          <w:b/>
          <w:bCs/>
          <w:sz w:val="24"/>
        </w:rPr>
        <w:t>JOÃO VICTOR GASPARINI</w:t>
      </w:r>
    </w:p>
    <w:p w:rsidR="002800AF" w:rsidP="00A74629" w14:paraId="6D6ED94E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P="00A74629" w14:paraId="443ACA8A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A74629" w14:paraId="2747815D" w14:textId="4C37EFE9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2800AF" w:rsidP="00A74629" w14:paraId="18FBA174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2800AF" w:rsidRPr="002800AF" w:rsidP="00A74629" w14:paraId="72420318" w14:textId="63CD4465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</w:t>
      </w:r>
      <w:r w:rsidR="00A74629">
        <w:rPr>
          <w:rFonts w:ascii="Times New Roman" w:hAnsi="Times New Roman"/>
          <w:b/>
          <w:bCs/>
          <w:sz w:val="24"/>
          <w:u w:val="single"/>
        </w:rPr>
        <w:t>ÇÃO</w:t>
      </w:r>
    </w:p>
    <w:p w:rsidR="002800AF" w:rsidP="00A74629" w14:paraId="21CE4EF2" w14:textId="77777777">
      <w:pPr>
        <w:pStyle w:val="PlainText"/>
        <w:spacing w:line="360" w:lineRule="auto"/>
        <w:jc w:val="center"/>
        <w:rPr>
          <w:rFonts w:ascii="Times New Roman" w:hAnsi="Times New Roman"/>
          <w:b/>
          <w:bCs/>
          <w:sz w:val="24"/>
        </w:rPr>
      </w:pPr>
    </w:p>
    <w:p w:rsidR="00A74629" w:rsidRPr="00A74629" w:rsidP="00A74629" w14:paraId="6652EAEE" w14:textId="00792973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74629">
        <w:rPr>
          <w:rFonts w:ascii="Times New Roman" w:hAnsi="Times New Roman"/>
          <w:sz w:val="24"/>
        </w:rPr>
        <w:t xml:space="preserve">O presente Substitutivo </w:t>
      </w:r>
      <w:r w:rsidR="004A1E9C">
        <w:rPr>
          <w:rFonts w:ascii="Times New Roman" w:hAnsi="Times New Roman"/>
          <w:sz w:val="24"/>
        </w:rPr>
        <w:t xml:space="preserve">ao </w:t>
      </w:r>
      <w:r w:rsidRPr="00A74629" w:rsidR="004A1E9C">
        <w:rPr>
          <w:rFonts w:ascii="Times New Roman" w:hAnsi="Times New Roman"/>
          <w:sz w:val="24"/>
        </w:rPr>
        <w:t xml:space="preserve">Projeto de Lei </w:t>
      </w:r>
      <w:r w:rsidRPr="00A74629">
        <w:rPr>
          <w:rFonts w:ascii="Times New Roman" w:hAnsi="Times New Roman"/>
          <w:sz w:val="24"/>
        </w:rPr>
        <w:t xml:space="preserve">nº 65/2025 visa </w:t>
      </w:r>
      <w:r w:rsidR="004A1E9C">
        <w:rPr>
          <w:rFonts w:ascii="Times New Roman" w:hAnsi="Times New Roman"/>
          <w:sz w:val="24"/>
        </w:rPr>
        <w:t>promover</w:t>
      </w:r>
      <w:r w:rsidRPr="00A74629">
        <w:rPr>
          <w:rFonts w:ascii="Times New Roman" w:hAnsi="Times New Roman"/>
          <w:sz w:val="24"/>
        </w:rPr>
        <w:t xml:space="preserve"> pequenos ajustes técnicos</w:t>
      </w:r>
      <w:r w:rsidR="004A1E9C">
        <w:rPr>
          <w:rFonts w:ascii="Times New Roman" w:hAnsi="Times New Roman"/>
          <w:sz w:val="24"/>
        </w:rPr>
        <w:t xml:space="preserve"> </w:t>
      </w:r>
      <w:r w:rsidRPr="00A74629">
        <w:rPr>
          <w:rFonts w:ascii="Times New Roman" w:hAnsi="Times New Roman"/>
          <w:sz w:val="24"/>
        </w:rPr>
        <w:t xml:space="preserve">e adequando o texto às observações do parecer jurídico emitido pela </w:t>
      </w:r>
      <w:r w:rsidR="004A1E9C">
        <w:rPr>
          <w:rFonts w:ascii="Times New Roman" w:hAnsi="Times New Roman"/>
          <w:sz w:val="24"/>
        </w:rPr>
        <w:t xml:space="preserve">consultoria jurídica externa, </w:t>
      </w:r>
      <w:r w:rsidRPr="00A74629">
        <w:rPr>
          <w:rFonts w:ascii="Times New Roman" w:hAnsi="Times New Roman"/>
          <w:sz w:val="24"/>
        </w:rPr>
        <w:t>de modo a garantir plena conformidade com os princípios constitucionais e a viabilidade jurídica da proposta.</w:t>
      </w:r>
    </w:p>
    <w:p w:rsidR="00A74629" w:rsidRPr="00A74629" w:rsidP="00A74629" w14:paraId="160B9A3C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A74629" w:rsidRPr="00A74629" w:rsidP="00A74629" w14:paraId="5628A73E" w14:textId="118C5416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74629">
        <w:rPr>
          <w:rFonts w:ascii="Times New Roman" w:hAnsi="Times New Roman"/>
          <w:sz w:val="24"/>
        </w:rPr>
        <w:t>A "</w:t>
      </w:r>
      <w:r w:rsidRPr="00A74629">
        <w:rPr>
          <w:rFonts w:ascii="Times New Roman" w:hAnsi="Times New Roman"/>
          <w:sz w:val="24"/>
        </w:rPr>
        <w:t>Barminhada</w:t>
      </w:r>
      <w:r w:rsidRPr="00A74629">
        <w:rPr>
          <w:rFonts w:ascii="Times New Roman" w:hAnsi="Times New Roman"/>
          <w:sz w:val="24"/>
        </w:rPr>
        <w:t xml:space="preserve"> Delas", cuja primeira edição, realizada em 19 de outubro de 2024, reuniu mais de 250 participantes, demonstrou ser uma iniciativa de grande relevância para Mogi Mirim. Inspirada na "</w:t>
      </w:r>
      <w:r w:rsidRPr="00A74629">
        <w:rPr>
          <w:rFonts w:ascii="Times New Roman" w:hAnsi="Times New Roman"/>
          <w:sz w:val="24"/>
        </w:rPr>
        <w:t>Barminhada</w:t>
      </w:r>
      <w:r w:rsidRPr="00A74629">
        <w:rPr>
          <w:rFonts w:ascii="Times New Roman" w:hAnsi="Times New Roman"/>
          <w:sz w:val="24"/>
        </w:rPr>
        <w:t>" tradicional, já pr</w:t>
      </w:r>
      <w:bookmarkStart w:id="0" w:name="_GoBack"/>
      <w:bookmarkEnd w:id="0"/>
      <w:r w:rsidRPr="00A74629">
        <w:rPr>
          <w:rFonts w:ascii="Times New Roman" w:hAnsi="Times New Roman"/>
          <w:sz w:val="24"/>
        </w:rPr>
        <w:t xml:space="preserve">evista na Lei Municipal nº 6.637/2023, o evento se destaca por seu foco no público feminino, promovendo inclusão, empreendedorismo e conscientização sobre a saúde da mulher, em alinhamento com o </w:t>
      </w:r>
      <w:r w:rsidRPr="00A74629">
        <w:rPr>
          <w:rFonts w:ascii="Times New Roman" w:hAnsi="Times New Roman"/>
          <w:sz w:val="24"/>
        </w:rPr>
        <w:t>Outubro</w:t>
      </w:r>
      <w:r w:rsidRPr="00A74629">
        <w:rPr>
          <w:rFonts w:ascii="Times New Roman" w:hAnsi="Times New Roman"/>
          <w:sz w:val="24"/>
        </w:rPr>
        <w:t xml:space="preserve"> Rosa. A inclusão no calendário oficial visa fortalecer a mobilização cidadã e o comércio local, atraindo turistas e estimulando a economia criativa.</w:t>
      </w:r>
    </w:p>
    <w:p w:rsidR="00A74629" w:rsidRPr="00A74629" w:rsidP="00A74629" w14:paraId="70A4DF3F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A74629" w:rsidRPr="00A74629" w:rsidP="00A74629" w14:paraId="0015590B" w14:textId="4F8279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74629">
        <w:rPr>
          <w:rFonts w:ascii="Times New Roman" w:hAnsi="Times New Roman"/>
          <w:sz w:val="24"/>
        </w:rPr>
        <w:t>O parecer jurídico apontou que o texto original, ao prever o envolvimento de órgãos municipais e a destinação de recursos ao Centro de Referência de Atendimento à Mulher (CRAM), poderia ser interpretado como uma imposição ao Poder Executivo, potencialmente configurando ingerência em sua autonomia administrativa, conforme jurisprudência do Tribunal de Justiça de São Paulo (ADI nº 2096691-47.2020.8.26.0000). Reconhecendo a pertinência dessas observações, este substitutivo reformula os dispositivos para esclarecer que a colaboração do Poder Público é voluntária e condicionada à disponibilidade orçamentária, além de substituir a destinação obrigatória de recursos por um incentivo voluntário a ações de apoio à saúde feminina.</w:t>
      </w:r>
    </w:p>
    <w:p w:rsidR="00A74629" w:rsidRPr="00A74629" w:rsidP="00A74629" w14:paraId="4E05B6DD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A74629" w:rsidRPr="00A74629" w:rsidP="00A74629" w14:paraId="4C451B25" w14:textId="5B7AA58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74629">
        <w:rPr>
          <w:rFonts w:ascii="Times New Roman" w:hAnsi="Times New Roman"/>
          <w:sz w:val="24"/>
        </w:rPr>
        <w:t xml:space="preserve">As escolhas originais buscavam maximizar o impacto social do evento, garantindo apoio institucional e direcionando recursos para uma causa relevante. Contudo, as alterações propostas preservam esses objetivos sem comprometer a separação dos poderes, mantendo a essência do projeto e sua capacidade de promover benefícios culturais, sociais e econômicos. A ausência de despesas obrigatórias e a ênfase na organização autônoma por cidadãs e parceiros </w:t>
      </w:r>
      <w:r w:rsidRPr="00A74629">
        <w:rPr>
          <w:rFonts w:ascii="Times New Roman" w:hAnsi="Times New Roman"/>
          <w:sz w:val="24"/>
        </w:rPr>
        <w:t>locais asseguram que a iniciativa não impõe prejuízos ao erário público, sendo plenamente viável dentro dos limites orçamentários e legais.</w:t>
      </w:r>
    </w:p>
    <w:p w:rsidR="00A74629" w:rsidRPr="00A74629" w:rsidP="00A74629" w14:paraId="122F4046" w14:textId="77777777">
      <w:pPr>
        <w:pStyle w:val="PlainText"/>
        <w:spacing w:line="360" w:lineRule="auto"/>
        <w:jc w:val="both"/>
        <w:rPr>
          <w:rFonts w:ascii="Times New Roman" w:hAnsi="Times New Roman"/>
          <w:sz w:val="24"/>
        </w:rPr>
      </w:pPr>
    </w:p>
    <w:p w:rsidR="002800AF" w:rsidRPr="00D37305" w:rsidP="00A74629" w14:paraId="524DEB61" w14:textId="0B2D25BB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  <w:r w:rsidRPr="00A74629" w:rsidR="00A74629">
        <w:rPr>
          <w:rFonts w:ascii="Times New Roman" w:hAnsi="Times New Roman"/>
          <w:sz w:val="24"/>
        </w:rPr>
        <w:t>Diante do exposto, submeto este projeto de lei substitutivo à apreciação dos nobres pares, confiando em sua aprovação.</w:t>
      </w:r>
    </w:p>
    <w:sectPr w:rsidSect="00D37305">
      <w:headerReference w:type="default" r:id="rId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429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C51134" w14:paraId="28C4A77C" w14:textId="3B4A2552">
    <w:pPr>
      <w:pStyle w:val="Header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0835"/>
    <w:rsid w:val="000E02F3"/>
    <w:rsid w:val="001536DE"/>
    <w:rsid w:val="001915A3"/>
    <w:rsid w:val="001B334F"/>
    <w:rsid w:val="001F178F"/>
    <w:rsid w:val="002167D0"/>
    <w:rsid w:val="00217F62"/>
    <w:rsid w:val="00220FF3"/>
    <w:rsid w:val="0025595B"/>
    <w:rsid w:val="002800AF"/>
    <w:rsid w:val="002F4F02"/>
    <w:rsid w:val="003322CF"/>
    <w:rsid w:val="003A0FD7"/>
    <w:rsid w:val="00415159"/>
    <w:rsid w:val="004513CB"/>
    <w:rsid w:val="00491A84"/>
    <w:rsid w:val="004A1E9C"/>
    <w:rsid w:val="004A3FBC"/>
    <w:rsid w:val="004B027A"/>
    <w:rsid w:val="00524AD9"/>
    <w:rsid w:val="006E30EE"/>
    <w:rsid w:val="007055A6"/>
    <w:rsid w:val="008579FD"/>
    <w:rsid w:val="008B362B"/>
    <w:rsid w:val="008B6F44"/>
    <w:rsid w:val="00900959"/>
    <w:rsid w:val="00920C58"/>
    <w:rsid w:val="00A74629"/>
    <w:rsid w:val="00A906D8"/>
    <w:rsid w:val="00AB5A74"/>
    <w:rsid w:val="00B04D1C"/>
    <w:rsid w:val="00B74677"/>
    <w:rsid w:val="00B93F19"/>
    <w:rsid w:val="00C4470E"/>
    <w:rsid w:val="00C51134"/>
    <w:rsid w:val="00C871FD"/>
    <w:rsid w:val="00CB657A"/>
    <w:rsid w:val="00CF5DE4"/>
    <w:rsid w:val="00D20622"/>
    <w:rsid w:val="00D37305"/>
    <w:rsid w:val="00DB1B02"/>
    <w:rsid w:val="00DB4D64"/>
    <w:rsid w:val="00E17FF1"/>
    <w:rsid w:val="00EF51C7"/>
    <w:rsid w:val="00F071AE"/>
    <w:rsid w:val="00F81241"/>
    <w:rsid w:val="00FD1C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DD16D-669C-431E-81BA-037ACCEF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645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JV Gasparini</cp:lastModifiedBy>
  <cp:revision>6</cp:revision>
  <dcterms:created xsi:type="dcterms:W3CDTF">2024-12-20T12:38:00Z</dcterms:created>
  <dcterms:modified xsi:type="dcterms:W3CDTF">2025-06-24T23:22:00Z</dcterms:modified>
</cp:coreProperties>
</file>