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4F52" w:rsidP="00D740D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Moção Nº 203/2025</w:t>
      </w:r>
      <w:r>
        <w:rPr>
          <w:sz w:val="24"/>
          <w:szCs w:val="24"/>
        </w:rPr>
        <w:t>Moção Nº 203/2025</w:t>
      </w:r>
    </w:p>
    <w:p w:rsidR="006F4AD0" w:rsidP="00D740DC">
      <w:pPr>
        <w:spacing w:line="276" w:lineRule="auto"/>
        <w:rPr>
          <w:sz w:val="24"/>
          <w:szCs w:val="24"/>
        </w:rPr>
      </w:pPr>
    </w:p>
    <w:p w:rsidR="006F4AD0" w:rsidP="00D740DC">
      <w:pPr>
        <w:spacing w:line="276" w:lineRule="auto"/>
        <w:rPr>
          <w:sz w:val="24"/>
          <w:szCs w:val="24"/>
        </w:rPr>
      </w:pPr>
    </w:p>
    <w:p w:rsidR="00D740DC" w:rsidRPr="00C95F37" w:rsidP="00D740DC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40DC" w:rsidRPr="00C95F37" w:rsidP="00D740D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>MOÇÃO DE REPÚDIO ÀS NOTAS OFICIAIS DO MINISTÉRIO DAS RELAÇÕES EXTERIORES QUE CONDENAM OS ATAQUES PREVENTIVOS DE ISRAEL AO IRÃ.</w:t>
      </w:r>
    </w:p>
    <w:p w:rsidR="00825EB1" w:rsidP="00D740DC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6F4AD0" w:rsidP="00D740DC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6F4AD0" w:rsidRPr="00C95F37" w:rsidP="00D740DC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D740DC" w:rsidRPr="00C95F37" w:rsidP="00D740DC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D740DC" w:rsidRPr="00C95F37" w:rsidP="00D740DC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D740DC" w:rsidP="00D740D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D740DC">
        <w:rPr>
          <w:sz w:val="24"/>
          <w:szCs w:val="24"/>
        </w:rPr>
        <w:t>MOÇÃO DE REPÚDIO ÀS NOTAS OFICIAIS DO MINISTÉRIO DAS RELAÇÕES EXTERIORES QUE CONDENAM OS ATAQUES PREVENTIVOS DE ISRAEL AO IRÃ.</w:t>
      </w:r>
    </w:p>
    <w:p w:rsidR="009B703C" w:rsidP="009B703C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6F4AD0" w:rsidP="009B703C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9B703C" w:rsidP="009B703C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Requeiro também que seja remetida cópia desta propositura para os seguintes endereços: </w:t>
      </w:r>
    </w:p>
    <w:p w:rsidR="009B703C" w:rsidP="009B703C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F54F52" w:rsidP="00F54F52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MINISTÉRIO DAS RELAÇÕES EXTERIORES (ITAMARATY)</w:t>
      </w:r>
    </w:p>
    <w:p w:rsidR="00F54F52" w:rsidP="00F54F52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F54F52">
        <w:rPr>
          <w:i/>
          <w:color w:val="000000" w:themeColor="text1"/>
          <w:sz w:val="24"/>
          <w:szCs w:val="24"/>
        </w:rPr>
        <w:t>Esplanada dos Ministér</w:t>
      </w:r>
      <w:r>
        <w:rPr>
          <w:i/>
          <w:color w:val="000000" w:themeColor="text1"/>
          <w:sz w:val="24"/>
          <w:szCs w:val="24"/>
        </w:rPr>
        <w:t xml:space="preserve">ios, Bloco H, Palácio Itamaraty - Brasília/DF | </w:t>
      </w:r>
      <w:r w:rsidRPr="00F54F52">
        <w:rPr>
          <w:i/>
          <w:color w:val="000000" w:themeColor="text1"/>
          <w:sz w:val="24"/>
          <w:szCs w:val="24"/>
        </w:rPr>
        <w:t>CEP</w:t>
      </w:r>
      <w:r>
        <w:rPr>
          <w:i/>
          <w:color w:val="000000" w:themeColor="text1"/>
          <w:sz w:val="24"/>
          <w:szCs w:val="24"/>
        </w:rPr>
        <w:t xml:space="preserve"> </w:t>
      </w:r>
      <w:r w:rsidRPr="00F54F52">
        <w:rPr>
          <w:i/>
          <w:color w:val="000000" w:themeColor="text1"/>
          <w:sz w:val="24"/>
          <w:szCs w:val="24"/>
        </w:rPr>
        <w:t>70170-900</w:t>
      </w:r>
      <w:r>
        <w:rPr>
          <w:i/>
          <w:color w:val="000000" w:themeColor="text1"/>
          <w:sz w:val="24"/>
          <w:szCs w:val="24"/>
        </w:rPr>
        <w:t>.</w:t>
      </w:r>
    </w:p>
    <w:p w:rsidR="00F54F52" w:rsidP="009B703C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9B703C" w:rsidP="009B703C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EMBAIXADA DE ISRAEL NO BRASIL</w:t>
      </w:r>
    </w:p>
    <w:p w:rsidR="009B703C" w:rsidP="009B703C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Av. das Nações, Quadra 809 - Lote 38, Asa Sul - Brasília/DF | CEP: 70424-900.</w:t>
      </w:r>
    </w:p>
    <w:p w:rsidR="009B703C" w:rsidP="009B703C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9B703C" w:rsidP="009B703C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CONSULADO GERAL DE ISRAEL EM SÃO PAULO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9B703C" w:rsidP="009B703C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James Joule, 92 - 11º andar, Cidade Monções - São Paulo/SP | CEP: 04576-080.</w:t>
      </w:r>
    </w:p>
    <w:p w:rsidR="009B703C" w:rsidP="009B703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9B703C" w:rsidP="009B703C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CONFEDERACÃO ISRAELITA DO BRASIL - CONIB</w:t>
      </w:r>
    </w:p>
    <w:p w:rsidR="009B703C" w:rsidP="009B703C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Caçapava, 105 - (4º andar, escritório 41), Jardim Paulista - São Paulo/SP</w:t>
      </w:r>
    </w:p>
    <w:p w:rsidR="009B703C" w:rsidP="009B703C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CEP: 01408-010.</w:t>
      </w:r>
    </w:p>
    <w:p w:rsidR="009B703C" w:rsidP="009B703C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9B703C" w:rsidP="009B703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FEDERAÇÃO ISRAELITA DO ESTADO SÃO PAULO - FISESP</w:t>
      </w:r>
    </w:p>
    <w:p w:rsidR="009B703C" w:rsidP="009B703C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dos Pinheiros, 498, Pinheiros - São Paulo/SP | CEP: 05422-000</w:t>
      </w:r>
    </w:p>
    <w:p w:rsidR="009B703C" w:rsidP="009B703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9B703C" w:rsidP="009B703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GILBERTO ABRAMO</w:t>
      </w:r>
    </w:p>
    <w:p w:rsidR="009B703C" w:rsidRPr="005C0C3A" w:rsidP="009B703C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5C0C3A">
        <w:rPr>
          <w:i/>
          <w:sz w:val="24"/>
          <w:szCs w:val="24"/>
        </w:rPr>
        <w:t>residente do Grupo Parlamentar de Amizade Brasil-Israel</w:t>
      </w:r>
    </w:p>
    <w:p w:rsidR="009B703C" w:rsidRPr="006F4AD0" w:rsidP="002F542F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 xml:space="preserve">Câmara dos Deputados - Anexo IV - Gabinete 601 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6F4AD0" w:rsidP="006F4AD0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6F4AD0" w:rsidP="006F4AD0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6F4AD0" w:rsidP="006F4AD0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GABINETE DO DEPUTADO ESTADUAL DANILO CAMPETTI</w:t>
      </w:r>
    </w:p>
    <w:p w:rsidR="006F4AD0" w:rsidP="006F4AD0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Coordenador da Frente Parlamentar em Defesa da União Brasil e Israel e suas Soberanias</w:t>
      </w:r>
    </w:p>
    <w:p w:rsidR="006F4AD0" w:rsidP="006F4AD0">
      <w:pPr>
        <w:pStyle w:val="ListParagraph"/>
        <w:numPr>
          <w:ilvl w:val="0"/>
          <w:numId w:val="4"/>
        </w:num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Av. Pedro Alvares Cabral, 201, Gabinete 164 / 1º andar - São Paulo/SP </w:t>
      </w:r>
    </w:p>
    <w:p w:rsidR="006F4AD0" w:rsidP="006F4AD0">
      <w:pPr>
        <w:overflowPunct w:val="0"/>
        <w:adjustRightInd w:val="0"/>
        <w:spacing w:line="360" w:lineRule="auto"/>
        <w:ind w:firstLine="708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CEP: 04097-900</w:t>
      </w:r>
    </w:p>
    <w:p w:rsidR="006F4AD0" w:rsidP="006F4AD0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6F4AD0" w:rsidP="006F4AD0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6F4AD0" w:rsidRPr="006F4AD0" w:rsidP="006F4AD0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D740DC" w:rsidRPr="00A20472" w:rsidP="00D740DC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9B703C" w:rsidP="00D740DC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6F4AD0" w:rsidRPr="00A20472" w:rsidP="00D740DC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B641D5" w:rsidRPr="00B641D5" w:rsidP="006F4AD0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641D5">
        <w:rPr>
          <w:sz w:val="24"/>
          <w:szCs w:val="24"/>
        </w:rPr>
        <w:t>Considerando a escalada das tensões no Oriente Médio e os recentes ataques preventivos de Israel contra alvos iranianos, manifestamos nosso veemente repúdio às notas oficiais emitidas pelo Ministério das Relações Exteriores do Brasil que condenam as ações de Israel.</w:t>
      </w:r>
    </w:p>
    <w:p w:rsidR="002F542F" w:rsidP="006F4AD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B641D5" w:rsidRPr="00B641D5" w:rsidP="006F4AD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B641D5">
        <w:rPr>
          <w:sz w:val="24"/>
          <w:szCs w:val="24"/>
        </w:rPr>
        <w:t>É fundamental que o Brasil reconheça a complexidade da situação e a realidade das ameaças existenciais que Israel enfrenta. O Irã, por meio de sua retórica belicosa e de seu apoio a grupos terroristas que visam a destruição de Israel, representa uma ameaça direta à segurança regional e global. Israel, como qualquer Estado soberano, tem o direito inerente à autodefesa, conforme consagrado no Artigo 51 da Carta das Nações Unidas. Suas ações preventivas, neste contexto, devem ser compreendidas como medidas legítimas para proteger sua população e seu território de agressões iminentes.</w:t>
      </w:r>
    </w:p>
    <w:p w:rsidR="002F542F" w:rsidP="006F4AD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B641D5" w:rsidRPr="00B641D5" w:rsidP="006F4AD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B641D5">
        <w:rPr>
          <w:sz w:val="24"/>
          <w:szCs w:val="24"/>
        </w:rPr>
        <w:t>As notas do Ministério das Relações Exteriores, ao condenarem Israel sem a devida contextualização das ameaças iranianas, ignoram o histórico de provocações e a doutrina de segurança nacional israelense. Tal postura unilateral e desequilibrada mina a credibilidade da diplomacia brasileira e afasta o Brasil de uma posição construtiva na busca pela estabilidade e paz na região. Em vez de condenar unilateralmente um lado que age em legítima defesa, o Brasil deveria focar em denunciar as fontes de instabilidade e agressão, promovendo o diálogo e a contenção de atores que ameaçam a paz.</w:t>
      </w:r>
    </w:p>
    <w:p w:rsidR="002F542F" w:rsidP="006F4AD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D740DC" w:rsidP="006F4AD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B641D5">
        <w:rPr>
          <w:sz w:val="24"/>
          <w:szCs w:val="24"/>
        </w:rPr>
        <w:t>Repudiamos, portanto, a narrativa que equipara</w:t>
      </w:r>
      <w:r w:rsidR="001E0BE8">
        <w:rPr>
          <w:sz w:val="24"/>
          <w:szCs w:val="24"/>
        </w:rPr>
        <w:t xml:space="preserve"> agressor e vítima, e esperamos</w:t>
      </w:r>
      <w:bookmarkStart w:id="0" w:name="_GoBack"/>
      <w:bookmarkEnd w:id="0"/>
      <w:r w:rsidRPr="00B641D5">
        <w:rPr>
          <w:sz w:val="24"/>
          <w:szCs w:val="24"/>
        </w:rPr>
        <w:t xml:space="preserve"> que o Ministério das Relações Exteriores revise sua postura, adotando uma abordagem mais equilibrada e condizente com os princípios de segurança internacional e com o direito de Israel de existir e se defender.</w:t>
      </w:r>
    </w:p>
    <w:p w:rsidR="002F542F" w:rsidP="00B641D5">
      <w:pPr>
        <w:spacing w:line="276" w:lineRule="auto"/>
        <w:rPr>
          <w:b/>
          <w:sz w:val="24"/>
          <w:szCs w:val="24"/>
        </w:rPr>
      </w:pPr>
    </w:p>
    <w:p w:rsidR="006F4AD0" w:rsidP="00D740DC">
      <w:pPr>
        <w:spacing w:line="276" w:lineRule="auto"/>
        <w:jc w:val="center"/>
        <w:rPr>
          <w:b/>
          <w:sz w:val="24"/>
          <w:szCs w:val="24"/>
        </w:rPr>
      </w:pPr>
    </w:p>
    <w:p w:rsidR="006F4AD0" w:rsidP="00D740DC">
      <w:pPr>
        <w:spacing w:line="276" w:lineRule="auto"/>
        <w:jc w:val="center"/>
        <w:rPr>
          <w:b/>
          <w:sz w:val="24"/>
          <w:szCs w:val="24"/>
        </w:rPr>
      </w:pPr>
    </w:p>
    <w:p w:rsidR="006F4AD0" w:rsidP="00D740DC">
      <w:pPr>
        <w:spacing w:line="276" w:lineRule="auto"/>
        <w:jc w:val="center"/>
        <w:rPr>
          <w:b/>
          <w:sz w:val="24"/>
          <w:szCs w:val="24"/>
        </w:rPr>
      </w:pP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27 de junho de 2025.</w:t>
      </w: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</w:p>
    <w:p w:rsidR="006F4AD0" w:rsidP="006F4AD0">
      <w:pPr>
        <w:spacing w:line="276" w:lineRule="auto"/>
        <w:jc w:val="center"/>
        <w:rPr>
          <w:sz w:val="24"/>
          <w:szCs w:val="24"/>
        </w:rPr>
      </w:pP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</w:p>
    <w:p w:rsidR="006F4AD0" w:rsidP="006F4AD0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ADEMIR SOUZA FLORETTI JUNIOR</w:t>
      </w: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</w:p>
    <w:p w:rsidR="006F4AD0" w:rsidP="006F4AD0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CRISTIANO GAIOTO</w:t>
      </w: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</w:p>
    <w:p w:rsidR="006F4AD0" w:rsidP="006F4AD0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LUIS ROBERTO TAVARES</w:t>
      </w: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</w:p>
    <w:p w:rsidR="006F4AD0" w:rsidP="006F4AD0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WAGNER RICARDO PEREIRA</w:t>
      </w: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</w:p>
    <w:p w:rsidR="006F4AD0" w:rsidP="006F4AD0">
      <w:pPr>
        <w:spacing w:line="276" w:lineRule="auto"/>
        <w:jc w:val="center"/>
        <w:rPr>
          <w:b/>
          <w:sz w:val="24"/>
          <w:szCs w:val="24"/>
        </w:rPr>
      </w:pPr>
    </w:p>
    <w:p w:rsidR="006F4AD0" w:rsidP="006F4AD0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6F4AD0" w:rsidP="006F4AD0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 WILIANS MENDES DE OLIVEIRA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B0236A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D740DC" w:rsidRPr="00C95F37" w:rsidP="00B0236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D129F"/>
    <w:sectPr w:rsidSect="002F542F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14872907" name="Imagem 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135938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" name="Imagem 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032203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1384F1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812F1"/>
    <w:multiLevelType w:val="hybridMultilevel"/>
    <w:tmpl w:val="A0CE8F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DC"/>
    <w:rsid w:val="00071746"/>
    <w:rsid w:val="001E0BE8"/>
    <w:rsid w:val="00207F61"/>
    <w:rsid w:val="00252C11"/>
    <w:rsid w:val="002F542F"/>
    <w:rsid w:val="004F53DF"/>
    <w:rsid w:val="00522A34"/>
    <w:rsid w:val="005C0C3A"/>
    <w:rsid w:val="005F4E7D"/>
    <w:rsid w:val="005F72DC"/>
    <w:rsid w:val="00606E59"/>
    <w:rsid w:val="006F4AD0"/>
    <w:rsid w:val="00825EB1"/>
    <w:rsid w:val="00897986"/>
    <w:rsid w:val="00922180"/>
    <w:rsid w:val="009B703C"/>
    <w:rsid w:val="009C7EB6"/>
    <w:rsid w:val="00A20472"/>
    <w:rsid w:val="00A624F7"/>
    <w:rsid w:val="00AD2076"/>
    <w:rsid w:val="00AF60CF"/>
    <w:rsid w:val="00B0236A"/>
    <w:rsid w:val="00B641D5"/>
    <w:rsid w:val="00C21050"/>
    <w:rsid w:val="00C95F37"/>
    <w:rsid w:val="00D67779"/>
    <w:rsid w:val="00D740DC"/>
    <w:rsid w:val="00ED129F"/>
    <w:rsid w:val="00F54F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68A256-C880-4DC5-8DBD-92C85C44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740DC"/>
  </w:style>
  <w:style w:type="paragraph" w:styleId="Header">
    <w:name w:val="header"/>
    <w:basedOn w:val="Normal"/>
    <w:link w:val="CabealhoChar"/>
    <w:rsid w:val="00D740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740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D740D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740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740DC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D740D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9B7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91B92-75CC-420B-9A40-1EDF7182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2025-06-27T14:06:26Z</cp:lastPrinted>
  <dcterms:created xsi:type="dcterms:W3CDTF">2025-06-25T13:06:00Z</dcterms:created>
  <dcterms:modified xsi:type="dcterms:W3CDTF">2025-06-27T13:20:00Z</dcterms:modified>
</cp:coreProperties>
</file>