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C926D0" w:rsidP="00A442B4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AD2770" w:rsidRPr="00C926D0" w:rsidP="00A442B4" w14:paraId="6196989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5242B1" w:rsidRPr="00C926D0" w:rsidP="00A442B4" w14:paraId="196BD59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5242B1" w:rsidRPr="00C926D0" w:rsidP="00A442B4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</w:p>
    <w:p w:rsidR="00322469" w:rsidRPr="00C926D0" w:rsidP="00A442B4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C926D0">
        <w:rPr>
          <w:b/>
          <w:color w:val="000000"/>
          <w:sz w:val="24"/>
          <w:szCs w:val="24"/>
        </w:rPr>
        <w:t>RELATÓRIO</w:t>
      </w:r>
    </w:p>
    <w:p w:rsidR="00322469" w:rsidRPr="00C926D0" w:rsidP="00A442B4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24645C" w:rsidRPr="00C926D0" w:rsidP="00A442B4" w14:paraId="45811A66" w14:textId="285CE69D">
      <w:pPr>
        <w:pStyle w:val="NormalWeb"/>
        <w:spacing w:line="360" w:lineRule="auto"/>
        <w:jc w:val="center"/>
        <w:rPr>
          <w:rStyle w:val="Strong"/>
          <w:color w:val="404040"/>
        </w:rPr>
      </w:pPr>
      <w:r w:rsidRPr="00C926D0">
        <w:rPr>
          <w:rStyle w:val="Strong"/>
          <w:color w:val="404040"/>
        </w:rPr>
        <w:t xml:space="preserve">PROJETO DE LEI Nº </w:t>
      </w:r>
      <w:r w:rsidR="00E624EC">
        <w:rPr>
          <w:rStyle w:val="Strong"/>
          <w:color w:val="404040"/>
        </w:rPr>
        <w:t>62</w:t>
      </w:r>
      <w:r w:rsidRPr="00C926D0" w:rsidR="00F74441">
        <w:rPr>
          <w:rStyle w:val="Strong"/>
          <w:color w:val="404040"/>
        </w:rPr>
        <w:t xml:space="preserve"> DE 2025</w:t>
      </w:r>
    </w:p>
    <w:p w:rsidR="00F74441" w:rsidRPr="00C926D0" w:rsidP="00E624EC" w14:paraId="4DE9CBF8" w14:textId="06D947FB">
      <w:pPr>
        <w:pStyle w:val="NormalWeb"/>
        <w:spacing w:line="360" w:lineRule="auto"/>
        <w:jc w:val="both"/>
        <w:rPr>
          <w:b/>
          <w:bCs/>
          <w:color w:val="404040"/>
        </w:rPr>
      </w:pPr>
      <w:r w:rsidRPr="00C926D0">
        <w:rPr>
          <w:color w:val="404040"/>
        </w:rPr>
        <w:br/>
      </w:r>
      <w:r w:rsidRPr="00E624EC" w:rsidR="00E624EC">
        <w:rPr>
          <w:rStyle w:val="Emphasis"/>
          <w:color w:val="404040"/>
        </w:rPr>
        <w:t>Institui o</w:t>
      </w:r>
      <w:r w:rsidR="00E624EC">
        <w:rPr>
          <w:rStyle w:val="Emphasis"/>
          <w:color w:val="404040"/>
        </w:rPr>
        <w:t xml:space="preserve"> </w:t>
      </w:r>
      <w:r w:rsidRPr="00E624EC" w:rsidR="00E624EC">
        <w:rPr>
          <w:rStyle w:val="Emphasis"/>
          <w:color w:val="404040"/>
        </w:rPr>
        <w:t>Programa Vizinhança Solidária no Município de Mogi Mirim, e dá outras providências</w:t>
      </w:r>
      <w:r w:rsidRPr="00C926D0">
        <w:rPr>
          <w:rStyle w:val="Emphasis"/>
          <w:color w:val="404040"/>
        </w:rPr>
        <w:t>.</w:t>
      </w:r>
    </w:p>
    <w:p w:rsidR="00F74441" w:rsidRPr="00C926D0" w:rsidP="00A442B4" w14:paraId="1D42C3C2" w14:textId="77777777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rStyle w:val="Strong"/>
          <w:color w:val="404040"/>
        </w:rPr>
        <w:t>RELATOR: VEREADOR JOÃO VICTOR GASPARINI</w:t>
      </w:r>
    </w:p>
    <w:p w:rsidR="00F74441" w:rsidRPr="00C926D0" w:rsidP="00A442B4" w14:paraId="255CBB13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25" style="width:0;height:0.75pt" o:hralign="center" o:hrstd="t" o:hrnoshade="t" o:hr="t" fillcolor="#404040" stroked="f"/>
        </w:pict>
      </w:r>
    </w:p>
    <w:p w:rsidR="00F74441" w:rsidRPr="00C926D0" w:rsidP="00A442B4" w14:paraId="71819A52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 - EXPOSIÇÃO DA MATÉRIA EM EXAME</w:t>
      </w:r>
    </w:p>
    <w:p w:rsidR="00E624EC" w:rsidRPr="00E624EC" w:rsidP="00E624EC" w14:paraId="253CDB66" w14:textId="77777777">
      <w:pPr>
        <w:pStyle w:val="NormalWeb"/>
        <w:spacing w:line="360" w:lineRule="auto"/>
        <w:jc w:val="both"/>
      </w:pPr>
      <w:r w:rsidRPr="00C926D0">
        <w:rPr>
          <w:color w:val="404040"/>
        </w:rPr>
        <w:tab/>
      </w:r>
      <w:r w:rsidRPr="00E624EC">
        <w:t xml:space="preserve">O Projeto de Lei nº 62/2025, de iniciativa dos Vereadores Cristiano </w:t>
      </w:r>
      <w:r w:rsidRPr="00E624EC">
        <w:t>Gaioto</w:t>
      </w:r>
      <w:r w:rsidRPr="00E624EC">
        <w:t xml:space="preserve">, Wagner Ricardo Pereira, Sargento </w:t>
      </w:r>
      <w:r w:rsidRPr="00E624EC">
        <w:t>Coran</w:t>
      </w:r>
      <w:r w:rsidRPr="00E624EC">
        <w:t xml:space="preserve"> e Manoel Palomino, protocolado em 5 de junho de 2025, institui o Programa Vizinhança Solidária no Município de Mogi Mirim, com o objetivo de incentivar a cooperação entre moradores, fortalecer a segurança comunitária e promover a integração social. O projeto estrutura-se em onze artigos, conforme descrito a seguir (Projeto de Lei nº 62/2025, pp. 1-4):</w:t>
      </w:r>
    </w:p>
    <w:p w:rsidR="00E624EC" w:rsidRPr="00E624EC" w:rsidP="00E624EC" w14:paraId="2AB99606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1º</w:t>
      </w:r>
      <w:r w:rsidRPr="00E624EC">
        <w:rPr>
          <w:sz w:val="24"/>
          <w:szCs w:val="24"/>
        </w:rPr>
        <w:t>: Institui o Programa Vizinhança Solidária, com foco em incentivar a cooperação, fortalecer a segurança comunitária e promover a integração social no município (p. 1).</w:t>
      </w:r>
    </w:p>
    <w:p w:rsidR="00E624EC" w:rsidRPr="00E624EC" w:rsidP="00E624EC" w14:paraId="2CBD1FF9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2º</w:t>
      </w:r>
      <w:r w:rsidRPr="00E624EC">
        <w:rPr>
          <w:sz w:val="24"/>
          <w:szCs w:val="24"/>
        </w:rPr>
        <w:t>: Define os princípios do programa, incluindo solidariedade, prevenção, participação cidadã, respeito à privacidade e à legislação municipal de segurança (p. 1).</w:t>
      </w:r>
    </w:p>
    <w:p w:rsidR="00E624EC" w:rsidRPr="00E624EC" w:rsidP="00E624EC" w14:paraId="6E806B58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3º</w:t>
      </w:r>
      <w:r w:rsidRPr="00E624EC">
        <w:rPr>
          <w:sz w:val="24"/>
          <w:szCs w:val="24"/>
        </w:rPr>
        <w:t>: Autoriza o Poder Executivo, por meio de secretarias competentes, a criar redes de comunicação, estimular ações conjuntas, promover eventos educativos e apoiar melhorias comunitárias (p. 1).</w:t>
      </w:r>
    </w:p>
    <w:p w:rsidR="00E624EC" w:rsidRPr="00E624EC" w:rsidP="00E624EC" w14:paraId="4FA311A5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4º</w:t>
      </w:r>
      <w:r w:rsidRPr="00E624EC">
        <w:rPr>
          <w:sz w:val="24"/>
          <w:szCs w:val="24"/>
        </w:rPr>
        <w:t>: Permite a formação de grupos de vizinhança solidária, organizados por ruas ou bairros, utilizando aplicativos, redes sociais ou reuniões periódicas, sem prejuízo aos Conselhos Comunitários de Segurança (</w:t>
      </w:r>
      <w:r w:rsidRPr="00E624EC">
        <w:rPr>
          <w:sz w:val="24"/>
          <w:szCs w:val="24"/>
        </w:rPr>
        <w:t>CONSEGs</w:t>
      </w:r>
      <w:r w:rsidRPr="00E624EC">
        <w:rPr>
          <w:sz w:val="24"/>
          <w:szCs w:val="24"/>
        </w:rPr>
        <w:t>) (p. 1).</w:t>
      </w:r>
    </w:p>
    <w:p w:rsidR="00E624EC" w:rsidRPr="00E624EC" w:rsidP="00E624EC" w14:paraId="3DE8B864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5º</w:t>
      </w:r>
      <w:r w:rsidRPr="00E624EC">
        <w:rPr>
          <w:sz w:val="24"/>
          <w:szCs w:val="24"/>
        </w:rPr>
        <w:t>: Prevê a oferta de treinamentos e materiais educativos sobre segurança comunitária pelo município (p. 1).</w:t>
      </w:r>
    </w:p>
    <w:p w:rsidR="00E624EC" w:rsidRPr="00E624EC" w:rsidP="00E624EC" w14:paraId="23F698D1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6º</w:t>
      </w:r>
      <w:r w:rsidRPr="00E624EC">
        <w:rPr>
          <w:sz w:val="24"/>
          <w:szCs w:val="24"/>
        </w:rPr>
        <w:t>: Incentiva parcerias com a Polícia Militar, Guarda Civil Municipal, Polícia Civil e outros órgãos competentes (p. 1).</w:t>
      </w:r>
    </w:p>
    <w:p w:rsidR="00E624EC" w:rsidRPr="00E624EC" w:rsidP="00E624EC" w14:paraId="46513E27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7º</w:t>
      </w:r>
      <w:r w:rsidRPr="00E624EC">
        <w:rPr>
          <w:sz w:val="24"/>
          <w:szCs w:val="24"/>
        </w:rPr>
        <w:t>: Autoriza o reconhecimento formal de grupos ativos, com incentivos como placas informativas de “Comunidade Segura” (p. 1).</w:t>
      </w:r>
    </w:p>
    <w:p w:rsidR="00E624EC" w:rsidRPr="00E624EC" w:rsidP="00E624EC" w14:paraId="35CA28CC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8º</w:t>
      </w:r>
      <w:r w:rsidRPr="00E624EC">
        <w:rPr>
          <w:sz w:val="24"/>
          <w:szCs w:val="24"/>
        </w:rPr>
        <w:t>: Permite a disponibilização de espaços para encontros entre grupos de vizinhança, promovendo a cooperação com órgãos de segurança (p. 2).</w:t>
      </w:r>
    </w:p>
    <w:p w:rsidR="00E624EC" w:rsidRPr="00E624EC" w:rsidP="00E624EC" w14:paraId="278BF0A7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9º</w:t>
      </w:r>
      <w:r w:rsidRPr="00E624EC">
        <w:rPr>
          <w:sz w:val="24"/>
          <w:szCs w:val="24"/>
        </w:rPr>
        <w:t xml:space="preserve">: Autoriza o Poder Executivo a designar um órgão coordenador, incentivar recursos para divulgação e suporte, firmar parcerias com </w:t>
      </w:r>
      <w:r w:rsidRPr="00E624EC">
        <w:rPr>
          <w:sz w:val="24"/>
          <w:szCs w:val="24"/>
        </w:rPr>
        <w:t>CONSEGs</w:t>
      </w:r>
      <w:r w:rsidRPr="00E624EC">
        <w:rPr>
          <w:sz w:val="24"/>
          <w:szCs w:val="24"/>
        </w:rPr>
        <w:t xml:space="preserve"> e órgãos de segurança, promover campanhas educativas e criar um Fundo Municipal de Segurança Comunitária (p. 2).</w:t>
      </w:r>
    </w:p>
    <w:p w:rsidR="00E624EC" w:rsidRPr="00E624EC" w:rsidP="00E624EC" w14:paraId="3E9C08A4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10º</w:t>
      </w:r>
      <w:r w:rsidRPr="00E624EC">
        <w:rPr>
          <w:sz w:val="24"/>
          <w:szCs w:val="24"/>
        </w:rPr>
        <w:t>: Revoga a Lei nº 6.569/2023 (p. 2).</w:t>
      </w:r>
    </w:p>
    <w:p w:rsidR="00E624EC" w:rsidRPr="00E624EC" w:rsidP="00E624EC" w14:paraId="03044A7B" w14:textId="77777777">
      <w:pPr>
        <w:numPr>
          <w:ilvl w:val="0"/>
          <w:numId w:val="27"/>
        </w:numPr>
        <w:spacing w:before="100" w:beforeAutospacing="1" w:after="100" w:afterAutospacing="1" w:line="360" w:lineRule="auto"/>
        <w:jc w:val="both"/>
        <w:rPr>
          <w:sz w:val="24"/>
          <w:szCs w:val="24"/>
        </w:rPr>
      </w:pPr>
      <w:r w:rsidRPr="00E624EC">
        <w:rPr>
          <w:b/>
          <w:bCs/>
          <w:sz w:val="24"/>
          <w:szCs w:val="24"/>
        </w:rPr>
        <w:t>Artigo 11º</w:t>
      </w:r>
      <w:r w:rsidRPr="00E624EC">
        <w:rPr>
          <w:sz w:val="24"/>
          <w:szCs w:val="24"/>
        </w:rPr>
        <w:t>: Determina a entrada em vigor na data de publicação (p. 2).</w:t>
      </w:r>
    </w:p>
    <w:p w:rsidR="00E624EC" w:rsidRPr="00E624EC" w:rsidP="00E624EC" w14:paraId="56AA0E6C" w14:textId="7376CEB9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624EC">
        <w:rPr>
          <w:sz w:val="24"/>
          <w:szCs w:val="24"/>
        </w:rPr>
        <w:t xml:space="preserve">A justificativa do projeto destaca a necessidade de fortalecer os laços comunitários, promover a cidadania ativa, reduzir a criminalidade e apoiar a integração com </w:t>
      </w:r>
      <w:r w:rsidRPr="00E624EC">
        <w:rPr>
          <w:sz w:val="24"/>
          <w:szCs w:val="24"/>
        </w:rPr>
        <w:t>CONSEGs</w:t>
      </w:r>
      <w:r w:rsidRPr="00E624EC">
        <w:rPr>
          <w:sz w:val="24"/>
          <w:szCs w:val="24"/>
        </w:rPr>
        <w:t xml:space="preserve"> e órgãos de segurança, com base em estudos que indicam eficácia de programas comunitários (Projeto de Lei nº 62/2025, p. 3).</w:t>
      </w:r>
    </w:p>
    <w:p w:rsidR="00E624EC" w:rsidRPr="00E624EC" w:rsidP="00E624EC" w14:paraId="54F838DA" w14:textId="2FE58093">
      <w:pPr>
        <w:spacing w:before="100" w:beforeAutospacing="1" w:after="100" w:afterAutospacing="1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Pr="00E624EC">
        <w:rPr>
          <w:sz w:val="24"/>
          <w:szCs w:val="24"/>
        </w:rPr>
        <w:t xml:space="preserve">A </w:t>
      </w:r>
      <w:r w:rsidRPr="00E624EC">
        <w:rPr>
          <w:b/>
          <w:bCs/>
          <w:sz w:val="24"/>
          <w:szCs w:val="24"/>
        </w:rPr>
        <w:t>Emenda nº 1 ao Projeto de Lei nº 62/2025</w:t>
      </w:r>
      <w:r w:rsidRPr="00E624EC">
        <w:rPr>
          <w:sz w:val="24"/>
          <w:szCs w:val="24"/>
        </w:rPr>
        <w:t>, proposta pelo Vereador Wagner Ricardo Pereira em 2 de julho de 2025, visa conferir maior clareza e flexibilidade ao texto, transformando obrigações em diretrizes ou autorizações, adaptando a execução do programa à realidade orçamentária e às prioridades administrativas, respeitando a autonomia do Poder Executivo e o princípio da reserva de administração (Emenda nº 1, p. 2).</w:t>
      </w:r>
    </w:p>
    <w:p w:rsidR="0024645C" w:rsidRPr="00C926D0" w:rsidP="00E624EC" w14:paraId="6FA6BF09" w14:textId="4CE26B58">
      <w:pPr>
        <w:pStyle w:val="NormalWeb"/>
        <w:spacing w:line="360" w:lineRule="auto"/>
        <w:jc w:val="both"/>
        <w:rPr>
          <w:color w:val="404040"/>
        </w:rPr>
      </w:pPr>
      <w:r w:rsidRPr="00A442B4">
        <w:rPr>
          <w:color w:val="404040"/>
        </w:rPr>
        <w:t>.</w:t>
      </w:r>
    </w:p>
    <w:p w:rsidR="00F74441" w:rsidRPr="00C926D0" w:rsidP="00A442B4" w14:paraId="452BB01C" w14:textId="47DBF949">
      <w:pPr>
        <w:pStyle w:val="NormalWeb"/>
        <w:spacing w:line="360" w:lineRule="auto"/>
        <w:jc w:val="both"/>
      </w:pPr>
      <w:r>
        <w:pict>
          <v:rect id="_x0000_i1026" style="width:0;height:0.75pt" o:hralign="center" o:hrstd="t" o:hrnoshade="t" o:hr="t" fillcolor="#404040" stroked="f"/>
        </w:pict>
      </w:r>
    </w:p>
    <w:p w:rsidR="00F74441" w:rsidRPr="00C926D0" w:rsidP="00A442B4" w14:paraId="380FED2D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II - CONCLUSÕES DO RELATOR</w:t>
      </w:r>
    </w:p>
    <w:p w:rsidR="00C104F1" w:rsidRPr="00C926D0" w:rsidP="00A442B4" w14:paraId="5F9126C2" w14:textId="77777777">
      <w:pPr>
        <w:pStyle w:val="Heading3"/>
        <w:spacing w:line="360" w:lineRule="auto"/>
        <w:jc w:val="both"/>
        <w:rPr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ab/>
      </w:r>
      <w:r w:rsidRPr="00C926D0">
        <w:rPr>
          <w:sz w:val="24"/>
          <w:szCs w:val="24"/>
        </w:rPr>
        <w:t>a) Legalidade e Constitucionalidade</w:t>
      </w:r>
    </w:p>
    <w:p w:rsidR="000B5637" w:rsidRPr="00C926D0" w:rsidP="00A442B4" w14:paraId="61FF1E65" w14:textId="77777777">
      <w:pPr>
        <w:pStyle w:val="NormalWeb"/>
        <w:spacing w:line="360" w:lineRule="auto"/>
        <w:jc w:val="both"/>
        <w:rPr>
          <w:rStyle w:val="Strong"/>
        </w:rPr>
      </w:pPr>
      <w:r w:rsidRPr="00C926D0">
        <w:rPr>
          <w:rStyle w:val="Strong"/>
        </w:rPr>
        <w:tab/>
      </w:r>
      <w:r w:rsidRPr="00C926D0">
        <w:rPr>
          <w:rStyle w:val="Strong"/>
        </w:rPr>
        <w:t>Competência Legislativa</w:t>
      </w:r>
    </w:p>
    <w:p w:rsidR="00E624EC" w:rsidP="00E624EC" w14:paraId="326AC82D" w14:textId="77777777">
      <w:pPr>
        <w:pStyle w:val="NormalWeb"/>
        <w:spacing w:line="360" w:lineRule="auto"/>
        <w:jc w:val="both"/>
      </w:pPr>
      <w:r w:rsidRPr="00C926D0">
        <w:tab/>
      </w:r>
      <w:r>
        <w:t>A competência legislativa municipal para assuntos de interesse local está prevista no artigo 30, inciso I, da Constituição Federal. O Programa Vizinhança Solidária, embora relacionado à segurança pública, pode ser considerado de interesse local quando suplementa legislações federal e estadual omissas, conforme artigo 30, inciso II, da Constituição Federal. A Lei Estadual nº 16.777/2018 institui o programa no âmbito estadual, mas não impede a normatização municipal para adequações locais (Parecer SGP, p. 4; Alexandre de Moraes, Direito Constitucional, 32ª ed., Atlas, 2016, p. 519).</w:t>
      </w:r>
    </w:p>
    <w:p w:rsidR="00C926D0" w:rsidRPr="00C926D0" w:rsidP="00A442B4" w14:paraId="33FEAA79" w14:textId="4CEF7159">
      <w:pPr>
        <w:pStyle w:val="NormalWeb"/>
        <w:spacing w:line="360" w:lineRule="auto"/>
        <w:jc w:val="both"/>
        <w:rPr>
          <w:rStyle w:val="Strong"/>
        </w:rPr>
      </w:pPr>
      <w:r w:rsidRPr="00C926D0">
        <w:rPr>
          <w:rStyle w:val="Strong"/>
        </w:rPr>
        <w:tab/>
      </w:r>
      <w:r w:rsidR="00E624EC">
        <w:rPr>
          <w:rStyle w:val="Strong"/>
        </w:rPr>
        <w:t>Iniciativa Legislativa</w:t>
      </w:r>
    </w:p>
    <w:p w:rsidR="00E624EC" w:rsidP="00E624EC" w14:paraId="76082CD8" w14:textId="77777777">
      <w:pPr>
        <w:pStyle w:val="NormalWeb"/>
        <w:spacing w:line="360" w:lineRule="auto"/>
        <w:jc w:val="both"/>
      </w:pPr>
      <w:r w:rsidRPr="00C926D0">
        <w:tab/>
      </w:r>
      <w:r>
        <w:t xml:space="preserve">A iniciativa do projeto é concorrente, conforme artigo 61, § 1º, da Constituição Federal, artigo 24, § 2º, da Constituição do Estado de São Paulo, e artigo 51 da Lei Orgânica do Município, desde que não implique criação, reestruturação ou atribuição de novas competências a órgãos do Executivo Municipal. O Parecer SGP (p. 4) alerta para possíveis vícios formais em disposições que imponham obrigações administrativas, como nos artigos 3º e 9º, que devem ser interpretados como autorizativos para evitar afronta ao princípio da reserva de administração (STF, ADI 5.127, Rel. Min. Luiz </w:t>
      </w:r>
      <w:r>
        <w:t>Fux</w:t>
      </w:r>
      <w:r>
        <w:t xml:space="preserve">, j. 09/06/2016, </w:t>
      </w:r>
      <w:r>
        <w:t>DJe</w:t>
      </w:r>
      <w:r>
        <w:t xml:space="preserve"> 15/08/2016).</w:t>
      </w:r>
    </w:p>
    <w:p w:rsidR="00E624EC" w:rsidP="00E624EC" w14:paraId="0D1A9538" w14:textId="4495B73A">
      <w:pPr>
        <w:pStyle w:val="NormalWeb"/>
        <w:spacing w:line="360" w:lineRule="auto"/>
        <w:ind w:left="709"/>
        <w:jc w:val="both"/>
        <w:rPr>
          <w:rStyle w:val="Strong"/>
        </w:rPr>
      </w:pPr>
      <w:r>
        <w:rPr>
          <w:rStyle w:val="Strong"/>
        </w:rPr>
        <w:t>Conformidade com a Legislação</w:t>
      </w:r>
    </w:p>
    <w:p w:rsidR="00E624EC" w:rsidP="00E624EC" w14:paraId="31F85EDB" w14:textId="7C5C8159">
      <w:pPr>
        <w:pStyle w:val="NormalWeb"/>
        <w:spacing w:line="360" w:lineRule="auto"/>
        <w:jc w:val="both"/>
      </w:pPr>
      <w:r>
        <w:tab/>
      </w:r>
      <w:r>
        <w:t>O projeto alinha-se aos princípios constitucionais da separação dos poderes (art. 2º, CF) e da eficiência administrativa (art. 37, caput, CF), desde que evite ingerências em atribuições exclusivas do Executivo. A revogação da Lei nº 6.569/2023 (art. 10) é válida, desde que não haja impacto em direitos adquiridos, conforme artigo 5º, inciso XXXVI, da Constituição Federal. A clareza do texto é adequada, exceto pela necessidade de ajustes recomendados pelo Parecer SGP para evitar normas impositivas (</w:t>
      </w:r>
      <w:r>
        <w:t>arts</w:t>
      </w:r>
      <w:r>
        <w:t>. 3º e 9º).</w:t>
      </w:r>
    </w:p>
    <w:p w:rsidR="00C926D0" w:rsidRPr="00C926D0" w:rsidP="00A442B4" w14:paraId="1C6BFDE5" w14:textId="4D40BADD">
      <w:pPr>
        <w:pStyle w:val="NormalWeb"/>
        <w:spacing w:line="360" w:lineRule="auto"/>
        <w:jc w:val="both"/>
        <w:rPr>
          <w:rStyle w:val="Strong"/>
        </w:rPr>
      </w:pPr>
      <w:r w:rsidRPr="00C926D0">
        <w:rPr>
          <w:rStyle w:val="Strong"/>
        </w:rPr>
        <w:tab/>
        <w:t>Clareza e Técnica Legislativa</w:t>
      </w:r>
    </w:p>
    <w:p w:rsidR="00C104F1" w:rsidRPr="00A442B4" w:rsidP="00B01151" w14:paraId="4396C5EA" w14:textId="7F29599F">
      <w:pPr>
        <w:pStyle w:val="NormalWeb"/>
        <w:spacing w:line="360" w:lineRule="auto"/>
        <w:jc w:val="both"/>
      </w:pPr>
      <w:r w:rsidRPr="00C926D0">
        <w:tab/>
      </w:r>
      <w:r w:rsidR="00E624EC">
        <w:t>O texto é claro e estruturado, com redação técnica adequada, exceto pelos artigos 3º e 9º, que podem ser interpretados como impositivos, contrariando o princípio da reserva de administração. A Emenda nº 1</w:t>
      </w:r>
      <w:r w:rsidR="00E624EC">
        <w:t>, entretanto,</w:t>
      </w:r>
      <w:r w:rsidR="00E624EC">
        <w:t xml:space="preserve"> propõe ajustes para transformar obrigações em diretrizes</w:t>
      </w:r>
      <w:r w:rsidR="00B01151">
        <w:t xml:space="preserve"> – alinhando o texto à conformidade.</w:t>
      </w:r>
      <w:r w:rsidR="00E624EC">
        <w:t xml:space="preserve"> </w:t>
      </w:r>
      <w:r w:rsidRPr="00C926D0">
        <w:tab/>
      </w:r>
    </w:p>
    <w:p w:rsidR="00C104F1" w:rsidRPr="00C926D0" w:rsidP="00A442B4" w14:paraId="0A3383DE" w14:textId="16B58D5F">
      <w:pPr>
        <w:pStyle w:val="Heading3"/>
        <w:spacing w:line="360" w:lineRule="auto"/>
        <w:jc w:val="both"/>
        <w:rPr>
          <w:sz w:val="24"/>
          <w:szCs w:val="24"/>
        </w:rPr>
      </w:pPr>
      <w:r w:rsidRPr="00C926D0">
        <w:rPr>
          <w:sz w:val="24"/>
          <w:szCs w:val="24"/>
        </w:rPr>
        <w:tab/>
      </w:r>
      <w:r w:rsidR="00B01151">
        <w:rPr>
          <w:sz w:val="24"/>
          <w:szCs w:val="24"/>
        </w:rPr>
        <w:t>b</w:t>
      </w:r>
      <w:r w:rsidRPr="00C926D0">
        <w:rPr>
          <w:sz w:val="24"/>
          <w:szCs w:val="24"/>
        </w:rPr>
        <w:t>) Conveniência e Oportunidade</w:t>
      </w:r>
    </w:p>
    <w:p w:rsidR="00B01151" w:rsidP="00B01151" w14:paraId="6DBDD4E1" w14:textId="269CB353">
      <w:pPr>
        <w:pStyle w:val="NormalWeb"/>
        <w:spacing w:line="360" w:lineRule="auto"/>
        <w:jc w:val="both"/>
      </w:pPr>
      <w:r>
        <w:tab/>
      </w:r>
      <w:r>
        <w:t xml:space="preserve">O Programa Vizinhança Solidária é conveniente e oportuno, pois promove a cidadania ativa, fortalece a segurança comunitária e estimula a integração social. A justificativa do projeto (p. 3) é respaldada por estudos que indicam redução de criminalidade em comunidades organizadas. A integração com </w:t>
      </w:r>
      <w:r>
        <w:t>CONSEGs</w:t>
      </w:r>
      <w:r>
        <w:t xml:space="preserve"> e órgãos de segurança, bem como o incentivo a campanhas educativas, reforça a relevância do programa. A flexibilidade proposta pela Emenda nº 0</w:t>
      </w:r>
      <w:r>
        <w:t>1</w:t>
      </w:r>
      <w:r>
        <w:t xml:space="preserve"> alinha a execução às prioridades administrativas, garantindo viabilidade prática.</w:t>
      </w:r>
    </w:p>
    <w:p w:rsidR="00F74441" w:rsidRPr="00C926D0" w:rsidP="00A442B4" w14:paraId="38BA90DC" w14:textId="4EC81AED">
      <w:pPr>
        <w:pStyle w:val="NormalWeb"/>
        <w:spacing w:line="360" w:lineRule="auto"/>
        <w:jc w:val="both"/>
      </w:pPr>
      <w:r>
        <w:pict>
          <v:rect id="_x0000_i1027" style="width:0;height:0.75pt" o:hralign="center" o:hrstd="t" o:hrnoshade="t" o:hr="t" fillcolor="#404040" stroked="f"/>
        </w:pict>
      </w:r>
    </w:p>
    <w:p w:rsidR="00F74441" w:rsidRPr="00C926D0" w:rsidP="00A442B4" w14:paraId="68542A3A" w14:textId="77777777">
      <w:pPr>
        <w:pStyle w:val="Heading3"/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III - OFERECIMENTO DE SUBSTITUTIVO, EMENDAS OU SUBEMENDAS</w:t>
      </w:r>
    </w:p>
    <w:p w:rsidR="00C926D0" w:rsidP="00A442B4" w14:paraId="7E128F18" w14:textId="275D0C30">
      <w:pPr>
        <w:pStyle w:val="NormalWeb"/>
        <w:spacing w:line="360" w:lineRule="auto"/>
      </w:pPr>
      <w:r w:rsidRPr="00C926D0">
        <w:tab/>
      </w:r>
      <w:r w:rsidRPr="00B01151" w:rsidR="00B01151">
        <w:t xml:space="preserve">Não se propõe emenda ou substitutivo, considerando que a Emenda nº </w:t>
      </w:r>
      <w:r w:rsidR="00B01151">
        <w:t>0</w:t>
      </w:r>
      <w:r w:rsidRPr="00B01151" w:rsidR="00B01151">
        <w:t>1</w:t>
      </w:r>
      <w:r w:rsidR="00B01151">
        <w:t xml:space="preserve"> </w:t>
      </w:r>
      <w:r w:rsidRPr="00B01151" w:rsidR="00B01151">
        <w:t>já sinaliza a intenção de ajustar os artigos para adequá-los ao princípio da reserva de administração.</w:t>
      </w:r>
    </w:p>
    <w:p w:rsidR="00F74441" w:rsidRPr="00C926D0" w:rsidP="00A442B4" w14:paraId="0344C6BF" w14:textId="183D14C7">
      <w:pPr>
        <w:pStyle w:val="NormalWeb"/>
        <w:spacing w:line="360" w:lineRule="auto"/>
        <w:jc w:val="both"/>
      </w:pPr>
      <w:r>
        <w:pict>
          <v:rect id="_x0000_i1028" style="width:0;height:0.75pt" o:hralign="center" o:hrstd="t" o:hrnoshade="t" o:hr="t" fillcolor="#404040" stroked="f"/>
        </w:pict>
      </w:r>
    </w:p>
    <w:p w:rsidR="00F74441" w:rsidRPr="00C926D0" w:rsidP="00A442B4" w14:paraId="0089363A" w14:textId="77777777">
      <w:pPr>
        <w:pStyle w:val="Heading3"/>
        <w:spacing w:line="360" w:lineRule="auto"/>
        <w:jc w:val="both"/>
        <w:rPr>
          <w:rStyle w:val="Strong"/>
          <w:b/>
          <w:bCs w:val="0"/>
          <w:color w:val="404040"/>
          <w:sz w:val="24"/>
          <w:szCs w:val="24"/>
        </w:rPr>
      </w:pPr>
      <w:r w:rsidRPr="00C926D0">
        <w:rPr>
          <w:rStyle w:val="Strong"/>
          <w:b/>
          <w:bCs w:val="0"/>
          <w:color w:val="404040"/>
          <w:sz w:val="24"/>
          <w:szCs w:val="24"/>
        </w:rPr>
        <w:t>IV - DECISÃO DA COMISSÃO</w:t>
      </w:r>
    </w:p>
    <w:p w:rsidR="00B01151" w:rsidP="00B01151" w14:paraId="0B24EBFB" w14:textId="0309FAB5">
      <w:pPr>
        <w:pStyle w:val="NormalWeb"/>
        <w:spacing w:line="360" w:lineRule="auto"/>
        <w:jc w:val="both"/>
      </w:pPr>
      <w:r w:rsidRPr="00C926D0">
        <w:rPr>
          <w:color w:val="404040"/>
        </w:rPr>
        <w:tab/>
      </w:r>
      <w:r w:rsidRPr="00DB5B53">
        <w:rPr>
          <w:color w:val="404040"/>
        </w:rPr>
        <w:t>A Comissão de Justiça e Redação, por unanimidade, </w:t>
      </w:r>
      <w:r w:rsidRPr="00DB5B53">
        <w:rPr>
          <w:rStyle w:val="Strong"/>
          <w:color w:val="404040"/>
        </w:rPr>
        <w:t>aprova</w:t>
      </w:r>
      <w:r>
        <w:rPr>
          <w:color w:val="404040"/>
        </w:rPr>
        <w:t> o Projeto de Lei nº 36</w:t>
      </w:r>
      <w:r w:rsidRPr="00DB5B53">
        <w:rPr>
          <w:color w:val="404040"/>
        </w:rPr>
        <w:t xml:space="preserve"> de 2025, considerando-o </w:t>
      </w:r>
      <w:r w:rsidRPr="00DB5B53">
        <w:rPr>
          <w:rStyle w:val="Strong"/>
          <w:color w:val="404040"/>
        </w:rPr>
        <w:t>legal, constitucional e conveniente</w:t>
      </w:r>
      <w:r w:rsidRPr="00DB5B53">
        <w:rPr>
          <w:color w:val="404040"/>
        </w:rPr>
        <w:t>.</w:t>
      </w:r>
    </w:p>
    <w:p w:rsidR="00F74441" w:rsidRPr="00C926D0" w:rsidP="00A442B4" w14:paraId="214FFDEB" w14:textId="13993572">
      <w:pPr>
        <w:pStyle w:val="NormalWeb"/>
        <w:spacing w:line="360" w:lineRule="auto"/>
        <w:jc w:val="both"/>
      </w:pPr>
      <w:bookmarkStart w:id="0" w:name="_GoBack"/>
      <w:bookmarkEnd w:id="0"/>
      <w:r>
        <w:pict>
          <v:rect id="_x0000_i1029" style="width:0;height:0.75pt" o:hralign="center" o:hrstd="t" o:hrnoshade="t" o:hr="t" fillcolor="#404040" stroked="f"/>
        </w:pict>
      </w:r>
    </w:p>
    <w:p w:rsidR="00F74441" w:rsidRPr="00C926D0" w:rsidP="00A442B4" w14:paraId="14CCE9EB" w14:textId="77777777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rStyle w:val="Strong"/>
          <w:color w:val="404040"/>
        </w:rPr>
        <w:t>Assinam os membros da Comissão de Justiça e Redação que votaram a favor:</w:t>
      </w:r>
    </w:p>
    <w:p w:rsidR="00F74441" w:rsidRPr="00C926D0" w:rsidP="00A442B4" w14:paraId="1436876C" w14:textId="767E72E4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color w:val="404040"/>
        </w:rPr>
      </w:pPr>
      <w:r w:rsidRPr="00C926D0">
        <w:rPr>
          <w:color w:val="404040"/>
        </w:rPr>
        <w:t>Vereador João Victor Gasparini (</w:t>
      </w:r>
      <w:r w:rsidRPr="00C926D0" w:rsidR="003B1A59">
        <w:rPr>
          <w:color w:val="404040"/>
        </w:rPr>
        <w:t xml:space="preserve">Membro/ </w:t>
      </w:r>
      <w:r w:rsidRPr="00C926D0">
        <w:rPr>
          <w:color w:val="404040"/>
        </w:rPr>
        <w:t>Relator)</w:t>
      </w:r>
    </w:p>
    <w:p w:rsidR="00F74441" w:rsidRPr="00C926D0" w:rsidP="00A442B4" w14:paraId="0AF5E80E" w14:textId="279D525E">
      <w:pPr>
        <w:pStyle w:val="NormalWeb"/>
        <w:numPr>
          <w:ilvl w:val="0"/>
          <w:numId w:val="13"/>
        </w:numPr>
        <w:spacing w:before="0" w:beforeAutospacing="0" w:line="360" w:lineRule="auto"/>
        <w:jc w:val="both"/>
        <w:rPr>
          <w:color w:val="404040"/>
        </w:rPr>
      </w:pPr>
      <w:r w:rsidRPr="00C926D0">
        <w:rPr>
          <w:color w:val="404040"/>
        </w:rPr>
        <w:t xml:space="preserve">Vereador </w:t>
      </w:r>
      <w:r w:rsidRPr="00C926D0" w:rsidR="003B1A59">
        <w:rPr>
          <w:color w:val="404040"/>
        </w:rPr>
        <w:t>Wagner Ricardo Pereira (Presidente)</w:t>
      </w:r>
    </w:p>
    <w:p w:rsidR="00F74441" w:rsidRPr="00C926D0" w:rsidP="00A442B4" w14:paraId="64715406" w14:textId="7AA5E3FF">
      <w:pPr>
        <w:pStyle w:val="NormalWeb"/>
        <w:numPr>
          <w:ilvl w:val="0"/>
          <w:numId w:val="13"/>
        </w:numPr>
        <w:spacing w:before="0" w:beforeAutospacing="0" w:line="360" w:lineRule="auto"/>
        <w:jc w:val="both"/>
      </w:pPr>
      <w:r w:rsidRPr="00C926D0">
        <w:rPr>
          <w:color w:val="404040"/>
        </w:rPr>
        <w:t>Vereador Manoel Eduardo Pereira da Cruz Palomino (Vice-Presidente)</w:t>
      </w:r>
      <w:r>
        <w:pict>
          <v:rect id="_x0000_i1030" style="width:0;height:0.75pt" o:hrstd="t" o:hrnoshade="t" o:hr="t" fillcolor="#404040" stroked="f"/>
        </w:pict>
      </w:r>
    </w:p>
    <w:p w:rsidR="00F74441" w:rsidRPr="00C926D0" w:rsidP="00A442B4" w14:paraId="6AB168D8" w14:textId="45EBACE0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rStyle w:val="Strong"/>
          <w:color w:val="404040"/>
        </w:rPr>
        <w:t>SALA DAS SESSÕE</w:t>
      </w:r>
      <w:r w:rsidRPr="00C926D0" w:rsidR="00FA6BC2">
        <w:rPr>
          <w:rStyle w:val="Strong"/>
          <w:color w:val="404040"/>
        </w:rPr>
        <w:t>S “VEREADOR SANTO RÓTTOLI”, em</w:t>
      </w:r>
      <w:r w:rsidR="00B01151">
        <w:rPr>
          <w:rStyle w:val="Strong"/>
          <w:color w:val="404040"/>
        </w:rPr>
        <w:t xml:space="preserve"> 07</w:t>
      </w:r>
      <w:r w:rsidRPr="00C926D0">
        <w:rPr>
          <w:rStyle w:val="Strong"/>
          <w:color w:val="404040"/>
        </w:rPr>
        <w:t xml:space="preserve"> de </w:t>
      </w:r>
      <w:r w:rsidR="00B01151">
        <w:rPr>
          <w:rStyle w:val="Strong"/>
          <w:color w:val="404040"/>
        </w:rPr>
        <w:t>jul</w:t>
      </w:r>
      <w:r w:rsidRPr="00C926D0" w:rsidR="00C926D0">
        <w:rPr>
          <w:rStyle w:val="Strong"/>
          <w:color w:val="404040"/>
        </w:rPr>
        <w:t>h</w:t>
      </w:r>
      <w:r w:rsidRPr="00C926D0">
        <w:rPr>
          <w:rStyle w:val="Strong"/>
          <w:color w:val="404040"/>
        </w:rPr>
        <w:t>o de 2025.</w:t>
      </w:r>
    </w:p>
    <w:p w:rsidR="003D6D21" w:rsidRPr="00C926D0" w:rsidP="00A442B4" w14:paraId="5EF6A950" w14:textId="77777777">
      <w:pPr>
        <w:spacing w:before="240" w:line="360" w:lineRule="auto"/>
        <w:jc w:val="both"/>
        <w:rPr>
          <w:bCs/>
          <w:i/>
          <w:sz w:val="24"/>
          <w:szCs w:val="24"/>
        </w:rPr>
      </w:pPr>
    </w:p>
    <w:p w:rsidR="00F74441" w:rsidRPr="00C926D0" w:rsidP="00A442B4" w14:paraId="2F48280A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</w:p>
    <w:p w:rsidR="00F74441" w:rsidRPr="00C926D0" w:rsidP="00A442B4" w14:paraId="7E34DE79" w14:textId="77777777">
      <w:pPr>
        <w:spacing w:line="360" w:lineRule="auto"/>
        <w:jc w:val="center"/>
        <w:rPr>
          <w:b/>
          <w:sz w:val="24"/>
          <w:szCs w:val="24"/>
          <w:highlight w:val="white"/>
          <w:u w:val="single"/>
        </w:rPr>
      </w:pPr>
      <w:r w:rsidRPr="00C926D0">
        <w:rPr>
          <w:b/>
          <w:sz w:val="24"/>
          <w:szCs w:val="24"/>
          <w:highlight w:val="white"/>
          <w:u w:val="single"/>
        </w:rPr>
        <w:t>VEREADOR JOÃO VICTOR GASPARINI</w:t>
      </w:r>
    </w:p>
    <w:p w:rsidR="00F74441" w:rsidRPr="00C926D0" w:rsidP="00A442B4" w14:paraId="4D47B5CD" w14:textId="77777777">
      <w:pPr>
        <w:spacing w:line="360" w:lineRule="auto"/>
        <w:jc w:val="center"/>
        <w:rPr>
          <w:sz w:val="24"/>
          <w:szCs w:val="24"/>
        </w:rPr>
      </w:pPr>
      <w:r w:rsidRPr="00C926D0">
        <w:rPr>
          <w:sz w:val="24"/>
          <w:szCs w:val="24"/>
        </w:rPr>
        <w:t>Relator</w:t>
      </w:r>
    </w:p>
    <w:p w:rsidR="003D6D21" w:rsidRPr="00C926D0" w:rsidP="00A442B4" w14:paraId="5B4E1E8B" w14:textId="77777777">
      <w:pPr>
        <w:spacing w:line="360" w:lineRule="auto"/>
        <w:jc w:val="both"/>
        <w:rPr>
          <w:sz w:val="24"/>
          <w:szCs w:val="24"/>
        </w:rPr>
      </w:pPr>
    </w:p>
    <w:p w:rsidR="00F74441" w:rsidRPr="00C926D0" w:rsidP="00A442B4" w14:paraId="0B276300" w14:textId="7777777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i1031" style="width:0;height:0.75pt" o:hralign="center" o:hrstd="t" o:hrnoshade="t" o:hr="t" fillcolor="#404040" stroked="f"/>
        </w:pict>
      </w:r>
    </w:p>
    <w:p w:rsidR="00C926D0" w:rsidRPr="00C926D0" w:rsidP="00A442B4" w14:paraId="010DA84F" w14:textId="7F38FE2D">
      <w:pPr>
        <w:spacing w:line="360" w:lineRule="auto"/>
        <w:jc w:val="both"/>
        <w:rPr>
          <w:rStyle w:val="Strong"/>
          <w:b w:val="0"/>
          <w:bCs w:val="0"/>
          <w:color w:val="404040"/>
          <w:sz w:val="24"/>
          <w:szCs w:val="24"/>
        </w:rPr>
      </w:pPr>
    </w:p>
    <w:p w:rsidR="00F74441" w:rsidRPr="00C926D0" w:rsidP="00A442B4" w14:paraId="1D4CD745" w14:textId="27EB3B0C">
      <w:pPr>
        <w:spacing w:line="360" w:lineRule="auto"/>
        <w:jc w:val="both"/>
        <w:rPr>
          <w:color w:val="404040"/>
          <w:sz w:val="24"/>
          <w:szCs w:val="24"/>
        </w:rPr>
      </w:pPr>
      <w:r w:rsidRPr="00C926D0">
        <w:rPr>
          <w:rStyle w:val="Strong"/>
          <w:bCs w:val="0"/>
          <w:color w:val="404040"/>
          <w:sz w:val="24"/>
          <w:szCs w:val="24"/>
        </w:rPr>
        <w:t>REFERÊNCIAS</w:t>
      </w:r>
    </w:p>
    <w:p w:rsidR="00934784" w:rsidP="00934784" w14:paraId="6BBFFFFF" w14:textId="77777777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Projeto de Lei nº 62/2025, Câmara Municipal de Mogi Mirim, pp. 1-4. </w:t>
      </w:r>
    </w:p>
    <w:p w:rsidR="00934784" w:rsidP="00934784" w14:paraId="3FCCCF20" w14:textId="7EA1FBB0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Emenda nº 1 ao Projeto de Lei nº 62/2025, Câmara Municipal de Mogi Mirim, pp. 1-3. </w:t>
      </w:r>
    </w:p>
    <w:p w:rsidR="00934784" w:rsidP="00934784" w14:paraId="2F32D146" w14:textId="27419955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Consulta/0335/2025/JG/G, SGP Soluções em Gestão Pública, pp. 1-8. </w:t>
      </w:r>
    </w:p>
    <w:p w:rsidR="00934784" w:rsidP="00934784" w14:paraId="4B932B51" w14:textId="1AA4183D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Constituição Federal de 1988, </w:t>
      </w:r>
      <w:r>
        <w:t>arts</w:t>
      </w:r>
      <w:r>
        <w:t xml:space="preserve">. 2º, 30, incisos I e II, 37, caput, 61, § 1º, 169. </w:t>
      </w:r>
    </w:p>
    <w:p w:rsidR="00934784" w:rsidP="00934784" w14:paraId="67F1A7CD" w14:textId="2442A524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Constituição do Estado de São Paulo, art. 24, § 2º. </w:t>
      </w:r>
    </w:p>
    <w:p w:rsidR="00934784" w:rsidP="00934784" w14:paraId="3CBF5A76" w14:textId="2BC62CC6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Lei Orgânica do Município de Mogi Mirim, </w:t>
      </w:r>
      <w:r>
        <w:t>arts</w:t>
      </w:r>
      <w:r>
        <w:t xml:space="preserve">. 37, 51. </w:t>
      </w:r>
    </w:p>
    <w:p w:rsidR="00934784" w:rsidP="00934784" w14:paraId="13FE256E" w14:textId="6CB06179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Lei Estadual nº 16.777/2018, Estado de São Paulo. </w:t>
      </w:r>
    </w:p>
    <w:p w:rsidR="00934784" w:rsidP="00934784" w14:paraId="17EEA828" w14:textId="45984BFA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Lei Complementar nº 101/2000 (Lei de Responsabilidade Fiscal). </w:t>
      </w:r>
    </w:p>
    <w:p w:rsidR="00934784" w:rsidP="00934784" w14:paraId="39B5CD0A" w14:textId="7EA79ABF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Supremo Tribunal Federal, ADI 5.127, Rel. Min. Luiz </w:t>
      </w:r>
      <w:r>
        <w:t>Fux</w:t>
      </w:r>
      <w:r>
        <w:t xml:space="preserve">, j. 09/06/2016, </w:t>
      </w:r>
      <w:r>
        <w:t>DJe</w:t>
      </w:r>
      <w:r>
        <w:t xml:space="preserve"> 15/08/2016. </w:t>
      </w:r>
    </w:p>
    <w:p w:rsidR="00934784" w:rsidP="00934784" w14:paraId="0E87CF8E" w14:textId="7EE884EC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Alexandre de Moraes, Direito Constitucional, 32ª ed., Atlas, São Paulo, 2016, p. 519. </w:t>
      </w:r>
    </w:p>
    <w:p w:rsidR="00934784" w:rsidP="00934784" w14:paraId="605DA80E" w14:textId="39405589">
      <w:pPr>
        <w:pStyle w:val="NormalWeb"/>
        <w:numPr>
          <w:ilvl w:val="0"/>
          <w:numId w:val="29"/>
        </w:numPr>
        <w:spacing w:line="360" w:lineRule="auto"/>
        <w:jc w:val="both"/>
      </w:pPr>
      <w:r>
        <w:t xml:space="preserve">Resolução nº 276/2010, Regimento Interno da Câmara Municipal de Mogi Mirim, </w:t>
      </w:r>
      <w:r>
        <w:t>arts</w:t>
      </w:r>
      <w:r>
        <w:t>. 35, 36.</w:t>
      </w:r>
    </w:p>
    <w:p w:rsidR="00934784" w14:paraId="4F5479AC" w14:textId="77777777">
      <w:pPr>
        <w:rPr>
          <w:sz w:val="24"/>
          <w:szCs w:val="24"/>
        </w:rPr>
      </w:pPr>
      <w:r>
        <w:br w:type="page"/>
      </w:r>
    </w:p>
    <w:p w:rsidR="00C926D0" w:rsidRPr="00C926D0" w:rsidP="00934784" w14:paraId="21C9EEEC" w14:textId="2B6D541E">
      <w:pPr>
        <w:pStyle w:val="NormalWeb"/>
        <w:spacing w:line="360" w:lineRule="auto"/>
        <w:jc w:val="both"/>
        <w:rPr>
          <w:color w:val="404040"/>
        </w:rPr>
      </w:pPr>
      <w:r w:rsidRPr="00C926D0">
        <w:rPr>
          <w:rStyle w:val="Strong"/>
          <w:color w:val="404040"/>
        </w:rPr>
        <w:t xml:space="preserve">PARECER CONJUNTO DAS COMISSÕES DE JUSTIÇA E REDAÇÃO E DE FINANÇAS E </w:t>
      </w:r>
      <w:r w:rsidR="00934784">
        <w:rPr>
          <w:rStyle w:val="Strong"/>
          <w:color w:val="404040"/>
        </w:rPr>
        <w:t>ORÇAMENTO AO PROJETO DE LEI Nº 62</w:t>
      </w:r>
      <w:r w:rsidRPr="00C926D0">
        <w:rPr>
          <w:rStyle w:val="Strong"/>
          <w:color w:val="404040"/>
        </w:rPr>
        <w:t>/2025</w:t>
      </w:r>
      <w:r w:rsidRPr="00C926D0">
        <w:rPr>
          <w:color w:val="404040"/>
        </w:rPr>
        <w:tab/>
      </w:r>
    </w:p>
    <w:p w:rsidR="00C926D0" w:rsidRPr="00C926D0" w:rsidP="00A442B4" w14:paraId="26BFA001" w14:textId="1A764138">
      <w:pPr>
        <w:pStyle w:val="NormalWeb"/>
        <w:spacing w:line="360" w:lineRule="auto"/>
        <w:jc w:val="both"/>
      </w:pPr>
      <w:r w:rsidRPr="00C926D0">
        <w:rPr>
          <w:color w:val="404040"/>
        </w:rPr>
        <w:tab/>
      </w:r>
      <w:r w:rsidRPr="00DC3C63" w:rsidR="00934784">
        <w:rPr>
          <w:color w:val="404040"/>
        </w:rPr>
        <w:t>A Comissão de Justiça e Redação no uso de suas atribuições regimentais, nos termos do artigo 35 da Resolução nº 276, de 09 de novembro de 2010, e após análise do </w:t>
      </w:r>
      <w:r w:rsidR="00934784">
        <w:rPr>
          <w:b/>
          <w:bCs/>
        </w:rPr>
        <w:t>Projeto de Lei nº 62</w:t>
      </w:r>
      <w:r w:rsidRPr="00DC3C63" w:rsidR="00934784">
        <w:rPr>
          <w:b/>
          <w:bCs/>
        </w:rPr>
        <w:t>/2025</w:t>
      </w:r>
      <w:r w:rsidRPr="00DC3C63" w:rsidR="00934784">
        <w:rPr>
          <w:color w:val="404040"/>
        </w:rPr>
        <w:t>, </w:t>
      </w:r>
      <w:r w:rsidRPr="00DC3C63" w:rsidR="00934784">
        <w:rPr>
          <w:b/>
          <w:bCs/>
        </w:rPr>
        <w:t>manifesta-se pela aprovação do projeto</w:t>
      </w:r>
      <w:r w:rsidRPr="00DC3C63" w:rsidR="00934784">
        <w:rPr>
          <w:color w:val="404040"/>
        </w:rPr>
        <w:t xml:space="preserve"> por entender que ele está em conformidade com as normas legais e regimentais.</w:t>
      </w:r>
    </w:p>
    <w:p w:rsidR="00C926D0" w:rsidRPr="00C926D0" w:rsidP="00A442B4" w14:paraId="2CD1CB90" w14:textId="77777777">
      <w:pPr>
        <w:pStyle w:val="NormalWeb"/>
        <w:spacing w:line="360" w:lineRule="auto"/>
        <w:jc w:val="both"/>
      </w:pPr>
    </w:p>
    <w:p w:rsidR="00C926D0" w:rsidRPr="00C926D0" w:rsidP="00A442B4" w14:paraId="077B16AD" w14:textId="77777777">
      <w:pPr>
        <w:pStyle w:val="NormalWeb"/>
        <w:spacing w:line="360" w:lineRule="auto"/>
        <w:jc w:val="both"/>
      </w:pPr>
    </w:p>
    <w:p w:rsidR="00C926D0" w:rsidRPr="00C926D0" w:rsidP="00A442B4" w14:paraId="5E75B44B" w14:textId="77777777">
      <w:pPr>
        <w:pStyle w:val="NormalWeb"/>
        <w:spacing w:line="360" w:lineRule="auto"/>
        <w:jc w:val="both"/>
        <w:rPr>
          <w:color w:val="404040"/>
        </w:rPr>
      </w:pPr>
    </w:p>
    <w:p w:rsidR="005C2F3A" w:rsidRPr="00C926D0" w:rsidP="00A442B4" w14:paraId="62681F87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C926D0">
        <w:rPr>
          <w:b/>
          <w:u w:val="single"/>
        </w:rPr>
        <w:t>COMISSÃO DE JUSTIÇA E REDAÇÃO</w:t>
      </w:r>
    </w:p>
    <w:p w:rsidR="005C2F3A" w:rsidRPr="00C926D0" w:rsidP="00A442B4" w14:paraId="4F8E5A5B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WAGNER RICARDO PEREIRA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Presidente</w:t>
      </w:r>
    </w:p>
    <w:p w:rsidR="005C2F3A" w:rsidRPr="00C926D0" w:rsidP="00A442B4" w14:paraId="232D268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MANOEL EDUARDO PEREIRA DA CRUZ PALOMINO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Vice-Presidente</w:t>
      </w:r>
    </w:p>
    <w:p w:rsidR="005C2F3A" w:rsidRPr="00C926D0" w:rsidP="00A442B4" w14:paraId="162B0DB7" w14:textId="77777777">
      <w:pPr>
        <w:spacing w:before="240" w:line="360" w:lineRule="auto"/>
        <w:jc w:val="center"/>
        <w:rPr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JOÃO VICTOR GASPARINI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Membro</w:t>
      </w:r>
    </w:p>
    <w:p w:rsidR="00C926D0" w:rsidP="00A442B4" w14:paraId="0D5D4077" w14:textId="77777777">
      <w:pPr>
        <w:spacing w:before="240" w:line="360" w:lineRule="auto"/>
        <w:jc w:val="center"/>
        <w:rPr>
          <w:sz w:val="24"/>
          <w:szCs w:val="24"/>
        </w:rPr>
      </w:pPr>
    </w:p>
    <w:p w:rsidR="003C73BE" w:rsidP="00A442B4" w14:paraId="52263E72" w14:textId="77777777">
      <w:pPr>
        <w:spacing w:before="240" w:line="360" w:lineRule="auto"/>
        <w:jc w:val="center"/>
        <w:rPr>
          <w:sz w:val="24"/>
          <w:szCs w:val="24"/>
        </w:rPr>
      </w:pPr>
    </w:p>
    <w:p w:rsidR="00A442B4" w:rsidP="00A442B4" w14:paraId="200370D5" w14:textId="77777777">
      <w:pPr>
        <w:spacing w:before="240" w:line="360" w:lineRule="auto"/>
        <w:jc w:val="center"/>
        <w:rPr>
          <w:sz w:val="24"/>
          <w:szCs w:val="24"/>
        </w:rPr>
      </w:pPr>
    </w:p>
    <w:p w:rsidR="00A442B4" w:rsidRPr="00C926D0" w:rsidP="00A442B4" w14:paraId="3F0C5ED1" w14:textId="77777777">
      <w:pPr>
        <w:spacing w:before="240" w:line="360" w:lineRule="auto"/>
        <w:jc w:val="center"/>
        <w:rPr>
          <w:sz w:val="24"/>
          <w:szCs w:val="24"/>
        </w:rPr>
      </w:pPr>
    </w:p>
    <w:p w:rsidR="00C926D0" w:rsidRPr="00C926D0" w:rsidP="00A442B4" w14:paraId="64929888" w14:textId="77777777">
      <w:pPr>
        <w:spacing w:before="240" w:line="360" w:lineRule="auto"/>
        <w:jc w:val="center"/>
        <w:rPr>
          <w:sz w:val="24"/>
          <w:szCs w:val="24"/>
        </w:rPr>
      </w:pPr>
    </w:p>
    <w:p w:rsidR="00C926D0" w:rsidRPr="00C926D0" w:rsidP="00A442B4" w14:paraId="124E6BCB" w14:textId="77777777">
      <w:pPr>
        <w:pStyle w:val="NormalWeb"/>
        <w:spacing w:line="360" w:lineRule="auto"/>
        <w:jc w:val="center"/>
        <w:rPr>
          <w:color w:val="404040"/>
          <w:u w:val="single"/>
        </w:rPr>
      </w:pPr>
      <w:r w:rsidRPr="00C926D0">
        <w:rPr>
          <w:b/>
          <w:u w:val="single"/>
        </w:rPr>
        <w:t>COMISSÃO DE FINANÇAS E ORÇAMENTO</w:t>
      </w:r>
    </w:p>
    <w:p w:rsidR="00C926D0" w:rsidRPr="00C926D0" w:rsidP="00A442B4" w14:paraId="658A0783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VEREADORA MARA CRISTINA CHOQUETTA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Presidente</w:t>
      </w:r>
    </w:p>
    <w:p w:rsidR="00C926D0" w:rsidRPr="00C926D0" w:rsidP="00A442B4" w14:paraId="7B4F1257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MARCIO DENER CORAN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Vice-Presidente</w:t>
      </w:r>
    </w:p>
    <w:p w:rsidR="00C926D0" w:rsidRPr="00C926D0" w:rsidP="00A442B4" w14:paraId="237F8712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C926D0">
        <w:rPr>
          <w:bCs/>
          <w:i/>
          <w:sz w:val="24"/>
          <w:szCs w:val="24"/>
        </w:rPr>
        <w:t>(</w:t>
      </w:r>
      <w:r w:rsidRPr="00C926D0">
        <w:rPr>
          <w:bCs/>
          <w:i/>
          <w:sz w:val="24"/>
          <w:szCs w:val="24"/>
        </w:rPr>
        <w:t>assinado</w:t>
      </w:r>
      <w:r w:rsidRPr="00C926D0">
        <w:rPr>
          <w:bCs/>
          <w:i/>
          <w:sz w:val="24"/>
          <w:szCs w:val="24"/>
        </w:rPr>
        <w:t xml:space="preserve"> digitalmente)</w:t>
      </w:r>
      <w:r w:rsidRPr="00C926D0">
        <w:rPr>
          <w:bCs/>
          <w:i/>
          <w:sz w:val="24"/>
          <w:szCs w:val="24"/>
        </w:rPr>
        <w:br/>
      </w:r>
      <w:r w:rsidRPr="00C926D0">
        <w:rPr>
          <w:b/>
          <w:sz w:val="24"/>
          <w:szCs w:val="24"/>
        </w:rPr>
        <w:t>VEREADOR MARCOS PAULO CEGATTI</w:t>
      </w:r>
      <w:r w:rsidRPr="00C926D0">
        <w:rPr>
          <w:b/>
          <w:sz w:val="24"/>
          <w:szCs w:val="24"/>
        </w:rPr>
        <w:br/>
      </w:r>
      <w:r w:rsidRPr="00C926D0">
        <w:rPr>
          <w:sz w:val="24"/>
          <w:szCs w:val="24"/>
        </w:rPr>
        <w:t>Membro</w:t>
      </w:r>
    </w:p>
    <w:p w:rsidR="00C926D0" w:rsidRPr="00C926D0" w:rsidP="00A442B4" w14:paraId="6E6D93EE" w14:textId="77777777">
      <w:pPr>
        <w:spacing w:before="240" w:line="360" w:lineRule="auto"/>
        <w:jc w:val="center"/>
        <w:rPr>
          <w:i/>
          <w:sz w:val="24"/>
          <w:szCs w:val="24"/>
        </w:rPr>
      </w:pPr>
    </w:p>
    <w:p w:rsidR="00C926D0" w:rsidRPr="00C926D0" w:rsidP="00A442B4" w14:paraId="7CD0FBDB" w14:textId="77777777">
      <w:pPr>
        <w:spacing w:line="360" w:lineRule="auto"/>
        <w:jc w:val="center"/>
        <w:rPr>
          <w:b/>
          <w:sz w:val="24"/>
          <w:szCs w:val="24"/>
        </w:rPr>
      </w:pPr>
    </w:p>
    <w:p w:rsidR="00C926D0" w:rsidRPr="00C926D0" w:rsidP="00A442B4" w14:paraId="4D7EBE11" w14:textId="77777777">
      <w:pPr>
        <w:spacing w:before="240" w:line="360" w:lineRule="auto"/>
        <w:jc w:val="center"/>
        <w:rPr>
          <w:i/>
          <w:sz w:val="24"/>
          <w:szCs w:val="24"/>
        </w:rPr>
      </w:pPr>
    </w:p>
    <w:p w:rsidR="005C2F3A" w:rsidRPr="00C926D0" w:rsidP="00A442B4" w14:paraId="0CB9D9B5" w14:textId="77777777">
      <w:pPr>
        <w:spacing w:line="360" w:lineRule="auto"/>
        <w:jc w:val="both"/>
        <w:rPr>
          <w:b/>
          <w:sz w:val="24"/>
          <w:szCs w:val="24"/>
        </w:rPr>
      </w:pPr>
    </w:p>
    <w:p w:rsidR="005C2F3A" w:rsidRPr="00C926D0" w:rsidP="00A442B4" w14:paraId="50E1BF62" w14:textId="0DFE27C7">
      <w:pPr>
        <w:spacing w:line="360" w:lineRule="auto"/>
        <w:jc w:val="both"/>
        <w:rPr>
          <w:b/>
          <w:sz w:val="24"/>
          <w:szCs w:val="24"/>
          <w:u w:val="single"/>
        </w:rPr>
      </w:pP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392FE7"/>
    <w:multiLevelType w:val="hybridMultilevel"/>
    <w:tmpl w:val="C228F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4647A2"/>
    <w:multiLevelType w:val="multilevel"/>
    <w:tmpl w:val="CDEA00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EB5F50"/>
    <w:multiLevelType w:val="hybridMultilevel"/>
    <w:tmpl w:val="6FEABD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794B24"/>
    <w:multiLevelType w:val="hybridMultilevel"/>
    <w:tmpl w:val="DAA216A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B82330"/>
    <w:multiLevelType w:val="multilevel"/>
    <w:tmpl w:val="68528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63635D9"/>
    <w:multiLevelType w:val="hybridMultilevel"/>
    <w:tmpl w:val="0884FD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CA10EA"/>
    <w:multiLevelType w:val="hybridMultilevel"/>
    <w:tmpl w:val="1B0AA34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375DEB"/>
    <w:multiLevelType w:val="multilevel"/>
    <w:tmpl w:val="A6440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885E91"/>
    <w:multiLevelType w:val="multilevel"/>
    <w:tmpl w:val="38C0A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8643155"/>
    <w:multiLevelType w:val="hybridMultilevel"/>
    <w:tmpl w:val="A6C433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FA537A"/>
    <w:multiLevelType w:val="hybridMultilevel"/>
    <w:tmpl w:val="4EEE56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2554C3"/>
    <w:multiLevelType w:val="hybridMultilevel"/>
    <w:tmpl w:val="14A67186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249273E"/>
    <w:multiLevelType w:val="multilevel"/>
    <w:tmpl w:val="7D4C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989617A"/>
    <w:multiLevelType w:val="hybridMultilevel"/>
    <w:tmpl w:val="7E3082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A95C4C"/>
    <w:multiLevelType w:val="multilevel"/>
    <w:tmpl w:val="2328F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0"/>
  </w:num>
  <w:num w:numId="3">
    <w:abstractNumId w:val="2"/>
  </w:num>
  <w:num w:numId="4">
    <w:abstractNumId w:val="9"/>
  </w:num>
  <w:num w:numId="5">
    <w:abstractNumId w:val="23"/>
  </w:num>
  <w:num w:numId="6">
    <w:abstractNumId w:val="27"/>
  </w:num>
  <w:num w:numId="7">
    <w:abstractNumId w:val="5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19"/>
  </w:num>
  <w:num w:numId="13">
    <w:abstractNumId w:val="1"/>
  </w:num>
  <w:num w:numId="14">
    <w:abstractNumId w:val="4"/>
  </w:num>
  <w:num w:numId="15">
    <w:abstractNumId w:val="16"/>
  </w:num>
  <w:num w:numId="16">
    <w:abstractNumId w:val="17"/>
  </w:num>
  <w:num w:numId="17">
    <w:abstractNumId w:val="14"/>
  </w:num>
  <w:num w:numId="18">
    <w:abstractNumId w:val="21"/>
  </w:num>
  <w:num w:numId="19">
    <w:abstractNumId w:val="24"/>
  </w:num>
  <w:num w:numId="20">
    <w:abstractNumId w:val="26"/>
  </w:num>
  <w:num w:numId="21">
    <w:abstractNumId w:val="13"/>
  </w:num>
  <w:num w:numId="22">
    <w:abstractNumId w:val="12"/>
  </w:num>
  <w:num w:numId="23">
    <w:abstractNumId w:val="25"/>
  </w:num>
  <w:num w:numId="24">
    <w:abstractNumId w:val="22"/>
  </w:num>
  <w:num w:numId="25">
    <w:abstractNumId w:val="20"/>
  </w:num>
  <w:num w:numId="26">
    <w:abstractNumId w:val="3"/>
  </w:num>
  <w:num w:numId="27">
    <w:abstractNumId w:val="28"/>
  </w:num>
  <w:num w:numId="28">
    <w:abstractNumId w:val="15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6797"/>
    <w:rsid w:val="00037531"/>
    <w:rsid w:val="00041A2D"/>
    <w:rsid w:val="000468A3"/>
    <w:rsid w:val="00070FE7"/>
    <w:rsid w:val="00071EF2"/>
    <w:rsid w:val="0008150E"/>
    <w:rsid w:val="00096F36"/>
    <w:rsid w:val="000A1BE0"/>
    <w:rsid w:val="000B5637"/>
    <w:rsid w:val="000F4933"/>
    <w:rsid w:val="00126AE5"/>
    <w:rsid w:val="00147B39"/>
    <w:rsid w:val="0015590E"/>
    <w:rsid w:val="00161C7F"/>
    <w:rsid w:val="00181506"/>
    <w:rsid w:val="00187FC6"/>
    <w:rsid w:val="00192536"/>
    <w:rsid w:val="001A3CE4"/>
    <w:rsid w:val="001B7303"/>
    <w:rsid w:val="0020165D"/>
    <w:rsid w:val="00213987"/>
    <w:rsid w:val="00227106"/>
    <w:rsid w:val="00227E2C"/>
    <w:rsid w:val="00234376"/>
    <w:rsid w:val="0024645C"/>
    <w:rsid w:val="00297379"/>
    <w:rsid w:val="002A2BD3"/>
    <w:rsid w:val="002B71AC"/>
    <w:rsid w:val="003121C8"/>
    <w:rsid w:val="00314B47"/>
    <w:rsid w:val="00322469"/>
    <w:rsid w:val="00330DDB"/>
    <w:rsid w:val="00371A69"/>
    <w:rsid w:val="0038129E"/>
    <w:rsid w:val="00381C00"/>
    <w:rsid w:val="003A5737"/>
    <w:rsid w:val="003A796B"/>
    <w:rsid w:val="003B1A59"/>
    <w:rsid w:val="003C73BE"/>
    <w:rsid w:val="003D6D21"/>
    <w:rsid w:val="003F0B47"/>
    <w:rsid w:val="00405098"/>
    <w:rsid w:val="00446FA1"/>
    <w:rsid w:val="00456770"/>
    <w:rsid w:val="004740DD"/>
    <w:rsid w:val="00493FCA"/>
    <w:rsid w:val="004B6FDF"/>
    <w:rsid w:val="004D46DA"/>
    <w:rsid w:val="004D7E50"/>
    <w:rsid w:val="004E6092"/>
    <w:rsid w:val="005242B1"/>
    <w:rsid w:val="005559D9"/>
    <w:rsid w:val="0057515A"/>
    <w:rsid w:val="005A235E"/>
    <w:rsid w:val="005B766F"/>
    <w:rsid w:val="005C2F3A"/>
    <w:rsid w:val="005E491E"/>
    <w:rsid w:val="005F2654"/>
    <w:rsid w:val="005F4E55"/>
    <w:rsid w:val="005F54DA"/>
    <w:rsid w:val="00613747"/>
    <w:rsid w:val="006834FE"/>
    <w:rsid w:val="00697874"/>
    <w:rsid w:val="006A54A9"/>
    <w:rsid w:val="006E0AD3"/>
    <w:rsid w:val="007038AD"/>
    <w:rsid w:val="0070466D"/>
    <w:rsid w:val="007362C7"/>
    <w:rsid w:val="007556D8"/>
    <w:rsid w:val="0078178E"/>
    <w:rsid w:val="00784CD4"/>
    <w:rsid w:val="00785E1B"/>
    <w:rsid w:val="007A08D1"/>
    <w:rsid w:val="00805ED4"/>
    <w:rsid w:val="00842408"/>
    <w:rsid w:val="00850EEC"/>
    <w:rsid w:val="00855DD2"/>
    <w:rsid w:val="00864928"/>
    <w:rsid w:val="00881E60"/>
    <w:rsid w:val="008905C2"/>
    <w:rsid w:val="008A537A"/>
    <w:rsid w:val="008B2B4D"/>
    <w:rsid w:val="008C08C5"/>
    <w:rsid w:val="008C4AA2"/>
    <w:rsid w:val="00902EE1"/>
    <w:rsid w:val="00904ADF"/>
    <w:rsid w:val="00904CFE"/>
    <w:rsid w:val="00914ADC"/>
    <w:rsid w:val="00920A3F"/>
    <w:rsid w:val="00925E1A"/>
    <w:rsid w:val="00934784"/>
    <w:rsid w:val="009914A7"/>
    <w:rsid w:val="00993823"/>
    <w:rsid w:val="009D6B7C"/>
    <w:rsid w:val="009E1883"/>
    <w:rsid w:val="009F0405"/>
    <w:rsid w:val="00A00E3E"/>
    <w:rsid w:val="00A12DD9"/>
    <w:rsid w:val="00A164DC"/>
    <w:rsid w:val="00A27446"/>
    <w:rsid w:val="00A442B4"/>
    <w:rsid w:val="00A672C0"/>
    <w:rsid w:val="00AD2770"/>
    <w:rsid w:val="00AD4B45"/>
    <w:rsid w:val="00AE5858"/>
    <w:rsid w:val="00AF0C05"/>
    <w:rsid w:val="00AF3296"/>
    <w:rsid w:val="00AF4AC7"/>
    <w:rsid w:val="00B01151"/>
    <w:rsid w:val="00B57090"/>
    <w:rsid w:val="00B849D9"/>
    <w:rsid w:val="00BA48C7"/>
    <w:rsid w:val="00BE41D6"/>
    <w:rsid w:val="00BF2A6F"/>
    <w:rsid w:val="00C10154"/>
    <w:rsid w:val="00C104F1"/>
    <w:rsid w:val="00C74E3F"/>
    <w:rsid w:val="00C75973"/>
    <w:rsid w:val="00C926D0"/>
    <w:rsid w:val="00CA4349"/>
    <w:rsid w:val="00CC3E72"/>
    <w:rsid w:val="00CC602E"/>
    <w:rsid w:val="00CF288D"/>
    <w:rsid w:val="00D233F3"/>
    <w:rsid w:val="00D33D19"/>
    <w:rsid w:val="00D52DAE"/>
    <w:rsid w:val="00D543E6"/>
    <w:rsid w:val="00D635A7"/>
    <w:rsid w:val="00D66197"/>
    <w:rsid w:val="00D735E2"/>
    <w:rsid w:val="00D80A2E"/>
    <w:rsid w:val="00D81BDB"/>
    <w:rsid w:val="00D9258F"/>
    <w:rsid w:val="00DA7AB4"/>
    <w:rsid w:val="00DB5B53"/>
    <w:rsid w:val="00DB7A5A"/>
    <w:rsid w:val="00DC3C63"/>
    <w:rsid w:val="00DE2A9A"/>
    <w:rsid w:val="00DF605F"/>
    <w:rsid w:val="00E11ECC"/>
    <w:rsid w:val="00E3543A"/>
    <w:rsid w:val="00E57668"/>
    <w:rsid w:val="00E624EC"/>
    <w:rsid w:val="00E7438B"/>
    <w:rsid w:val="00EA0447"/>
    <w:rsid w:val="00EA375D"/>
    <w:rsid w:val="00EB1570"/>
    <w:rsid w:val="00EB3C9A"/>
    <w:rsid w:val="00EB76DA"/>
    <w:rsid w:val="00EC5677"/>
    <w:rsid w:val="00ED7D93"/>
    <w:rsid w:val="00EE457C"/>
    <w:rsid w:val="00EF4DE4"/>
    <w:rsid w:val="00EF630E"/>
    <w:rsid w:val="00F10F57"/>
    <w:rsid w:val="00F21F60"/>
    <w:rsid w:val="00F304D4"/>
    <w:rsid w:val="00F42F8D"/>
    <w:rsid w:val="00F55E24"/>
    <w:rsid w:val="00F6339A"/>
    <w:rsid w:val="00F733EC"/>
    <w:rsid w:val="00F74441"/>
    <w:rsid w:val="00F83282"/>
    <w:rsid w:val="00F91A1F"/>
    <w:rsid w:val="00F91F4B"/>
    <w:rsid w:val="00F921DB"/>
    <w:rsid w:val="00FA6BC2"/>
    <w:rsid w:val="00FE7AE5"/>
    <w:rsid w:val="00FF13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7</Pages>
  <Words>1307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JV Gasparini</cp:lastModifiedBy>
  <cp:revision>22</cp:revision>
  <cp:lastPrinted>2025-06-11T15:44:00Z</cp:lastPrinted>
  <dcterms:created xsi:type="dcterms:W3CDTF">2025-02-12T16:35:00Z</dcterms:created>
  <dcterms:modified xsi:type="dcterms:W3CDTF">2025-07-08T21:34:00Z</dcterms:modified>
</cp:coreProperties>
</file>