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7A058C" w14:paraId="4DE9CBF8" w14:textId="639B38A2">
      <w:pPr>
        <w:pStyle w:val="NormalWeb"/>
        <w:spacing w:line="360" w:lineRule="auto"/>
        <w:rPr>
          <w:b/>
          <w:bCs/>
        </w:rPr>
      </w:pPr>
      <w:r w:rsidRPr="00D85ED2">
        <w:tab/>
      </w:r>
      <w:r w:rsidR="007A058C">
        <w:rPr>
          <w:rStyle w:val="Strong"/>
        </w:rPr>
        <w:t>PROJETO DE LEI Nº 52</w:t>
      </w:r>
      <w:r w:rsidRPr="00D85ED2">
        <w:rPr>
          <w:rStyle w:val="Strong"/>
        </w:rPr>
        <w:t xml:space="preserve"> DE 2025</w:t>
      </w:r>
      <w:r w:rsidRPr="00D85ED2">
        <w:br/>
      </w:r>
      <w:r w:rsidR="007A058C">
        <w:rPr>
          <w:rStyle w:val="Emphasis"/>
        </w:rPr>
        <w:t>“</w:t>
      </w:r>
      <w:r w:rsidRPr="00D85ED2" w:rsidR="008F67DA">
        <w:rPr>
          <w:rStyle w:val="Emphasis"/>
        </w:rPr>
        <w:t xml:space="preserve">Dispõe sobre </w:t>
      </w:r>
      <w:r w:rsidR="007A058C">
        <w:rPr>
          <w:rStyle w:val="Emphasis"/>
        </w:rPr>
        <w:t>a proibição do descarte irregular de lixo em terrenos, praças e demais áreas públicas e privadas no Município de Mogi Mirim, e</w:t>
      </w:r>
      <w:r w:rsidR="00BD0524">
        <w:rPr>
          <w:rStyle w:val="Emphasis"/>
        </w:rPr>
        <w:t xml:space="preserve"> dá o</w:t>
      </w:r>
      <w:r w:rsidR="007A058C">
        <w:rPr>
          <w:rStyle w:val="Emphasis"/>
        </w:rPr>
        <w:t>utras Providências”.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06170A01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7A058C">
        <w:t>O Projeto de Lei nº 52</w:t>
      </w:r>
      <w:r w:rsidRPr="00D85ED2" w:rsidR="007C6029">
        <w:t xml:space="preserve"> de 2025, de autoria do Vereador</w:t>
      </w:r>
      <w:r w:rsidRPr="00D85ED2" w:rsidR="003B1A59">
        <w:t xml:space="preserve"> </w:t>
      </w:r>
      <w:r w:rsidRPr="00D85ED2">
        <w:t>Manoel Eduardo Pereira da Cruz Palomino</w:t>
      </w:r>
      <w:r w:rsidRPr="00D85ED2" w:rsidR="005D21C6">
        <w:t xml:space="preserve">, tem por objetivo </w:t>
      </w:r>
      <w:r w:rsidR="003200AF">
        <w:rPr>
          <w:rStyle w:val="Emphasis"/>
          <w:b/>
        </w:rPr>
        <w:t xml:space="preserve">dispor </w:t>
      </w:r>
      <w:r w:rsidR="007A058C">
        <w:rPr>
          <w:rStyle w:val="Emphasis"/>
          <w:b/>
        </w:rPr>
        <w:t>sobre a proibição do descarte irregular de lixo em terrenos, praças e demais áreas públicas e priv</w:t>
      </w:r>
      <w:r w:rsidR="00305765">
        <w:rPr>
          <w:rStyle w:val="Emphasis"/>
          <w:b/>
        </w:rPr>
        <w:t>adas no Município de Mogi Mirim.</w:t>
      </w:r>
      <w:r w:rsidR="007A058C">
        <w:rPr>
          <w:rStyle w:val="Emphasis"/>
          <w:b/>
        </w:rPr>
        <w:t xml:space="preserve"> </w:t>
      </w:r>
    </w:p>
    <w:p w:rsidR="003B1A59" w:rsidRPr="00D85ED2" w:rsidP="001902E0" w14:paraId="3500C619" w14:textId="76781DD6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Pr="00D85ED2" w:rsidR="00F6470D">
        <w:t xml:space="preserve"> prevê que </w:t>
      </w:r>
      <w:r w:rsidR="000B29DE">
        <w:t xml:space="preserve">ficará </w:t>
      </w:r>
      <w:r w:rsidR="007A058C">
        <w:t>proibido</w:t>
      </w:r>
      <w:r w:rsidR="000B29DE">
        <w:t xml:space="preserve"> em todo o território do Município de Mogi Mirim, o descarte irregular de lixo, entulhos, resíduos sólidos ou qualquer tipo de material em terrenos, praças, ruas e demais áreas públicas ou privadas. </w:t>
      </w:r>
    </w:p>
    <w:p w:rsidR="00F6470D" w:rsidRPr="00D85ED2" w:rsidP="005B27A9" w14:paraId="26C99FC2" w14:textId="457848BB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670C69">
        <w:t>explica de for</w:t>
      </w:r>
      <w:r w:rsidR="005B5D7B">
        <w:t>ma objetiva</w:t>
      </w:r>
      <w:r w:rsidR="00670C69">
        <w:t xml:space="preserve"> </w:t>
      </w:r>
      <w:r w:rsidR="00EC3B96">
        <w:t>o que é considerado descarte irregular.</w:t>
      </w:r>
    </w:p>
    <w:p w:rsidR="00E978F5" w:rsidP="003D6D21" w14:paraId="726952F3" w14:textId="5D4B8204">
      <w:pPr>
        <w:pStyle w:val="NormalWeb"/>
        <w:spacing w:line="360" w:lineRule="auto"/>
        <w:jc w:val="both"/>
      </w:pPr>
      <w:r w:rsidRPr="00D85ED2">
        <w:tab/>
        <w:t xml:space="preserve">O </w:t>
      </w:r>
      <w:r w:rsidR="00670C69">
        <w:t xml:space="preserve">artigo </w:t>
      </w:r>
      <w:r w:rsidR="00F8258E">
        <w:t xml:space="preserve">3° estabelece que a fiscalização do cumprimento desta lei poderá ficar a cargo da Secretaria Municipal de Meio Ambiente, </w:t>
      </w:r>
      <w:r w:rsidR="00B56345">
        <w:t>na qual</w:t>
      </w:r>
      <w:r w:rsidR="00F8258E">
        <w:t xml:space="preserve"> poderão contar com a colaboração da Guarda Civil Municipal e outros órgãos da administração pública. </w:t>
      </w:r>
    </w:p>
    <w:p w:rsidR="00B56345" w:rsidP="003D6D21" w14:paraId="34C7AD38" w14:textId="28F1D134">
      <w:pPr>
        <w:pStyle w:val="NormalWeb"/>
        <w:spacing w:line="360" w:lineRule="auto"/>
        <w:jc w:val="both"/>
      </w:pPr>
      <w:r>
        <w:t xml:space="preserve">            O artigo 4° </w:t>
      </w:r>
      <w:r w:rsidR="00EC3B96">
        <w:t xml:space="preserve">dispõe sobre o </w:t>
      </w:r>
      <w:r w:rsidRPr="00EC3B96" w:rsidR="00EC3B96">
        <w:rPr>
          <w:i/>
        </w:rPr>
        <w:t>quantum</w:t>
      </w:r>
      <w:r w:rsidR="00EC3B96">
        <w:t xml:space="preserve"> da multa a ser aplicada, </w:t>
      </w:r>
      <w:r>
        <w:t>que poderá ser aumentada em até cinco vezes em caso de re</w:t>
      </w:r>
      <w:r w:rsidR="00EC3B96">
        <w:t>incidência no prazo de 12 meses</w:t>
      </w:r>
      <w:r>
        <w:t>. Juntamente o §1º determina que a multa será aplicada em dobro se o infrator for pessoa jurídica</w:t>
      </w:r>
      <w:r w:rsidR="00903C3F">
        <w:t xml:space="preserve"> e o §2º informa que todos os valores arrecadados com as multas aplicadas serão destinados a programas de educação ambiental e limpeza urbana. </w:t>
      </w:r>
    </w:p>
    <w:p w:rsidR="005A66B9" w:rsidP="003D6D21" w14:paraId="54448330" w14:textId="386E8DF6">
      <w:pPr>
        <w:pStyle w:val="NormalWeb"/>
        <w:spacing w:line="360" w:lineRule="auto"/>
        <w:jc w:val="both"/>
      </w:pPr>
      <w:r>
        <w:t xml:space="preserve">          </w:t>
      </w:r>
      <w:r w:rsidR="004D72B8">
        <w:t xml:space="preserve">  </w:t>
      </w:r>
      <w:r>
        <w:t xml:space="preserve">O artigo 5° prevê que o infrator </w:t>
      </w:r>
      <w:r>
        <w:t>terá o direito de</w:t>
      </w:r>
      <w:r>
        <w:t xml:space="preserve"> apresentar a defesa escrita no prazo de 15 (quinze) dias contado</w:t>
      </w:r>
      <w:r w:rsidR="00EC3B96">
        <w:t xml:space="preserve">s da notificação da autuação e a </w:t>
      </w:r>
      <w:r>
        <w:t>análise e o julgamento das defesas</w:t>
      </w:r>
      <w:r>
        <w:t xml:space="preserve"> poderão ficar sob a jurisdição da Secretar</w:t>
      </w:r>
      <w:r w:rsidR="00EC3B96">
        <w:t>ia Municipal de Meio Ambiente.</w:t>
      </w:r>
      <w:r>
        <w:t xml:space="preserve"> </w:t>
      </w:r>
    </w:p>
    <w:p w:rsidR="005B27A9" w:rsidRPr="00D85ED2" w:rsidP="004D72B8" w14:paraId="7D77A827" w14:textId="7204FAA7">
      <w:pPr>
        <w:pStyle w:val="NormalWeb"/>
        <w:spacing w:line="360" w:lineRule="auto"/>
        <w:jc w:val="both"/>
      </w:pPr>
      <w:r>
        <w:t xml:space="preserve"> </w:t>
      </w:r>
      <w:r w:rsidR="005A66B9">
        <w:t xml:space="preserve">          </w:t>
      </w:r>
      <w:r w:rsidR="004D72B8">
        <w:t xml:space="preserve">  </w:t>
      </w:r>
      <w:r w:rsidR="005A66B9">
        <w:t xml:space="preserve">Por último, o artigo 6° estabelece que a lei entrará em vigor na data de sua publicação. </w:t>
      </w:r>
    </w:p>
    <w:p w:rsidR="00FB12A6" w:rsidP="0055728D" w14:paraId="1E918147" w14:textId="2E2630F9">
      <w:pPr>
        <w:pStyle w:val="NormalWeb"/>
        <w:spacing w:line="360" w:lineRule="auto"/>
        <w:ind w:firstLine="720"/>
        <w:jc w:val="both"/>
      </w:pPr>
      <w:r>
        <w:t xml:space="preserve"> Em</w:t>
      </w:r>
      <w:r w:rsidR="004D72B8">
        <w:t xml:space="preserve"> </w:t>
      </w:r>
      <w:r w:rsidRPr="00D85ED2" w:rsidR="0055728D">
        <w:t>jus</w:t>
      </w:r>
      <w:r w:rsidR="004D72B8">
        <w:t xml:space="preserve">tificativa apresentada destaca que o descarte irregular de lixo é uma prática que causa sérios problemas ambientais e de saúde pública, além de comprometer a estética </w:t>
      </w:r>
      <w:r w:rsidR="005A7A52">
        <w:t xml:space="preserve">das áreas urbanas do </w:t>
      </w:r>
      <w:r w:rsidR="00CB7739">
        <w:t>M</w:t>
      </w:r>
      <w:r w:rsidR="005A7A52">
        <w:t xml:space="preserve">unicípio. Informa que com o crescimento populacional e o aumento da produção de resíduos sólidos, se torna necessário estabelecer normas rigorosas para coibir o descarte irregular. </w:t>
      </w:r>
    </w:p>
    <w:p w:rsidR="005A7A52" w:rsidP="0055728D" w14:paraId="1DB4BF75" w14:textId="0A3184F2">
      <w:pPr>
        <w:pStyle w:val="NormalWeb"/>
        <w:spacing w:line="360" w:lineRule="auto"/>
        <w:ind w:firstLine="720"/>
        <w:jc w:val="both"/>
      </w:pPr>
      <w:r>
        <w:t>Ainda, ressalta que o</w:t>
      </w:r>
      <w:r>
        <w:t xml:space="preserve"> projeto de lei </w:t>
      </w:r>
      <w:r w:rsidR="00EB18E4">
        <w:t xml:space="preserve">visa criar e promover um ambiente limpo e saudável para todos os cidadãos, em busca de conscientizar a comunidade local sobre a importância do descarte correto dos resíduos. </w:t>
      </w:r>
    </w:p>
    <w:p w:rsidR="0055728D" w:rsidRPr="00D85ED2" w:rsidP="0055728D" w14:paraId="51DD3134" w14:textId="33930220">
      <w:pPr>
        <w:pStyle w:val="NormalWeb"/>
        <w:spacing w:line="360" w:lineRule="auto"/>
        <w:ind w:firstLine="720"/>
        <w:jc w:val="both"/>
      </w:pPr>
      <w:r>
        <w:t xml:space="preserve">Por fim, salienta que as medidas sugeridas, como a aplicação de multas aos infratores que realizarem o descarte inadequado, possuem o objetivo de </w:t>
      </w:r>
      <w:r w:rsidR="006B5999">
        <w:t xml:space="preserve">desestimular a prática do descarte irregular e </w:t>
      </w:r>
      <w:r>
        <w:t xml:space="preserve">conscientizar </w:t>
      </w:r>
      <w:r w:rsidR="006B5999">
        <w:t>a população de forma prática.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566D9CCB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EB18E4">
        <w:t>52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3F64A5" w:rsidP="003F64A5" w14:paraId="5139AC62" w14:textId="206C4F7F">
      <w:pPr>
        <w:pStyle w:val="NormalWeb"/>
        <w:spacing w:line="360" w:lineRule="auto"/>
        <w:ind w:firstLine="720"/>
        <w:jc w:val="both"/>
      </w:pPr>
      <w:r>
        <w:t>Ao</w:t>
      </w:r>
      <w:r w:rsidR="006B5999">
        <w:t>s</w:t>
      </w:r>
      <w:r>
        <w:t xml:space="preserve"> Município</w:t>
      </w:r>
      <w:r w:rsidR="006B5999">
        <w:t>s</w:t>
      </w:r>
      <w:r>
        <w:t xml:space="preserve"> </w:t>
      </w:r>
      <w:r w:rsidR="006B5999">
        <w:t>é</w:t>
      </w:r>
      <w:r>
        <w:t xml:space="preserve"> assegurado o exercício pleno da competência de legislar sobre os assuntos de interesse</w:t>
      </w:r>
      <w:r w:rsidR="006B5999">
        <w:t xml:space="preserve"> local, de acordo com o artigo 30</w:t>
      </w:r>
      <w:r>
        <w:t xml:space="preserve">, inciso I da Constituição Federal. </w:t>
      </w:r>
    </w:p>
    <w:p w:rsidR="006B5999" w:rsidP="003F64A5" w14:paraId="7632896F" w14:textId="69285DAB">
      <w:pPr>
        <w:pStyle w:val="NormalWeb"/>
        <w:spacing w:line="360" w:lineRule="auto"/>
        <w:ind w:firstLine="720"/>
        <w:jc w:val="both"/>
      </w:pPr>
      <w:r>
        <w:t>Ainda, em âmbito das atribuições constitucionais, organizacionais e do interesse local, está inserida a competência legislativa supletiva municipal</w:t>
      </w:r>
      <w:r w:rsidR="00D05748">
        <w:t xml:space="preserve"> para proteger o meio ambiente e combater a poluição em qualquer de suas formas, nos termos do inciso VIII do artigo 186 da LOM.</w:t>
      </w:r>
    </w:p>
    <w:p w:rsidR="00D05748" w:rsidP="003F64A5" w14:paraId="547DD851" w14:textId="1BACD47F">
      <w:pPr>
        <w:pStyle w:val="NormalWeb"/>
        <w:spacing w:line="360" w:lineRule="auto"/>
        <w:ind w:firstLine="720"/>
        <w:jc w:val="both"/>
      </w:pPr>
      <w:r>
        <w:t>Para tanto, é perfeitamente plausível a apresentação e edição de normas de condutas (posturas) dos particulares e/ou administrados e que sujeitam o cidadão infrator à sanção administrativa de exclusiva competência municipal.</w:t>
      </w:r>
    </w:p>
    <w:p w:rsidR="00D05748" w:rsidP="003F64A5" w14:paraId="5060D4E4" w14:textId="0945CFC2">
      <w:pPr>
        <w:pStyle w:val="NormalWeb"/>
        <w:spacing w:line="360" w:lineRule="auto"/>
        <w:ind w:firstLine="720"/>
        <w:jc w:val="both"/>
      </w:pPr>
      <w:r>
        <w:t>Logo, é de competência administrativa comum de todos os Entes federados proteger o meio ambiente e combater a poluição, conforme determina os artigos 23, inciso VI, c/c artigo 225 da Constituição Federal e artigo 191 da Constituição do Estado de São Paulo.</w:t>
      </w:r>
    </w:p>
    <w:p w:rsidR="003B03AA" w:rsidP="003B03AA" w14:paraId="421990FF" w14:textId="1987892E">
      <w:pPr>
        <w:pStyle w:val="NormalWeb"/>
        <w:spacing w:line="360" w:lineRule="auto"/>
        <w:ind w:firstLine="720"/>
        <w:jc w:val="both"/>
      </w:pPr>
      <w:r>
        <w:t xml:space="preserve">A propósito, no exercício da competência legislativa concorrente para editar normas gerais sobre a proteção </w:t>
      </w:r>
      <w:r w:rsidR="00433801">
        <w:t>do meio ambiente</w:t>
      </w:r>
      <w:r>
        <w:t xml:space="preserve">, a União, por meio da Lei nº 12.305/2010, implementou a Política Nacional de Resíduos Sólidos, merecendo destaque o disposto no seu Capítulo VI (Das Proibições), </w:t>
      </w:r>
      <w:r w:rsidR="00433801">
        <w:t xml:space="preserve">mais especificamente o artigo 47, </w:t>
      </w:r>
      <w:r w:rsidRPr="00433801" w:rsidR="00433801">
        <w:rPr>
          <w:i/>
        </w:rPr>
        <w:t xml:space="preserve">in </w:t>
      </w:r>
      <w:r w:rsidRPr="00433801" w:rsidR="00433801">
        <w:rPr>
          <w:i/>
        </w:rPr>
        <w:t>verbis</w:t>
      </w:r>
      <w:r w:rsidR="00433801">
        <w:t>:</w:t>
      </w:r>
    </w:p>
    <w:p w:rsidR="00433801" w:rsidRPr="00433801" w:rsidP="00433801" w14:paraId="236CBDF1" w14:textId="59D6913A">
      <w:pPr>
        <w:pStyle w:val="NormalWeb"/>
        <w:ind w:left="2268"/>
        <w:jc w:val="both"/>
        <w:rPr>
          <w:i/>
        </w:rPr>
      </w:pPr>
      <w:r w:rsidRPr="00433801">
        <w:rPr>
          <w:i/>
        </w:rPr>
        <w:t xml:space="preserve">Art. 47.  São proibidas as seguintes formas de destinação ou disposição final de resíduos sólidos ou rejeitos: </w:t>
      </w:r>
    </w:p>
    <w:p w:rsidR="00433801" w:rsidRPr="00433801" w:rsidP="00433801" w14:paraId="58F50AF8" w14:textId="45A7BB74">
      <w:pPr>
        <w:pStyle w:val="NormalWeb"/>
        <w:ind w:left="2268"/>
        <w:jc w:val="both"/>
        <w:rPr>
          <w:i/>
        </w:rPr>
      </w:pPr>
      <w:r w:rsidRPr="00433801">
        <w:rPr>
          <w:i/>
        </w:rPr>
        <w:t xml:space="preserve">I - </w:t>
      </w:r>
      <w:r w:rsidRPr="00433801">
        <w:rPr>
          <w:i/>
        </w:rPr>
        <w:t>lançamento</w:t>
      </w:r>
      <w:r w:rsidRPr="00433801">
        <w:rPr>
          <w:i/>
        </w:rPr>
        <w:t xml:space="preserve"> em praias, no mar ou em quaisquer corpos hídricos; </w:t>
      </w:r>
    </w:p>
    <w:p w:rsidR="00433801" w:rsidRPr="00433801" w:rsidP="00433801" w14:paraId="1FDF5023" w14:textId="7F2354A9">
      <w:pPr>
        <w:pStyle w:val="NormalWeb"/>
        <w:ind w:left="2268"/>
        <w:jc w:val="both"/>
        <w:rPr>
          <w:i/>
        </w:rPr>
      </w:pPr>
      <w:r w:rsidRPr="00433801">
        <w:rPr>
          <w:i/>
        </w:rPr>
        <w:t xml:space="preserve">II - </w:t>
      </w:r>
      <w:r w:rsidRPr="00433801">
        <w:rPr>
          <w:i/>
        </w:rPr>
        <w:t>lançamento</w:t>
      </w:r>
      <w:r w:rsidRPr="00433801">
        <w:rPr>
          <w:i/>
        </w:rPr>
        <w:t xml:space="preserve"> </w:t>
      </w:r>
      <w:r w:rsidRPr="00433801">
        <w:rPr>
          <w:b/>
          <w:i/>
        </w:rPr>
        <w:t>in natura</w:t>
      </w:r>
      <w:r w:rsidRPr="00433801">
        <w:rPr>
          <w:i/>
        </w:rPr>
        <w:t xml:space="preserve"> a céu aberto, excetuados os resíduos de mineração; </w:t>
      </w:r>
    </w:p>
    <w:p w:rsidR="00433801" w:rsidRPr="00433801" w:rsidP="00433801" w14:paraId="300A568B" w14:textId="39AA76C8">
      <w:pPr>
        <w:pStyle w:val="NormalWeb"/>
        <w:ind w:left="2268"/>
        <w:jc w:val="both"/>
        <w:rPr>
          <w:i/>
        </w:rPr>
      </w:pPr>
      <w:r w:rsidRPr="00433801">
        <w:rPr>
          <w:i/>
        </w:rPr>
        <w:t xml:space="preserve">III - queima a céu aberto ou em recipientes, instalações e equipamentos não licenciados para essa finalidade; </w:t>
      </w:r>
    </w:p>
    <w:p w:rsidR="00433801" w:rsidRPr="00433801" w:rsidP="00433801" w14:paraId="756FE2D5" w14:textId="7DAC76DE">
      <w:pPr>
        <w:pStyle w:val="NormalWeb"/>
        <w:ind w:left="2268"/>
        <w:jc w:val="both"/>
        <w:rPr>
          <w:b/>
          <w:i/>
        </w:rPr>
      </w:pPr>
      <w:r w:rsidRPr="00433801">
        <w:rPr>
          <w:b/>
          <w:i/>
        </w:rPr>
        <w:t xml:space="preserve">IV - </w:t>
      </w:r>
      <w:r w:rsidRPr="00433801">
        <w:rPr>
          <w:b/>
          <w:i/>
        </w:rPr>
        <w:t>outras</w:t>
      </w:r>
      <w:r w:rsidRPr="00433801">
        <w:rPr>
          <w:b/>
          <w:i/>
        </w:rPr>
        <w:t xml:space="preserve"> formas vedadas pelo poder público. </w:t>
      </w:r>
    </w:p>
    <w:p w:rsidR="00433801" w:rsidRPr="00433801" w:rsidP="00433801" w14:paraId="0EE41B17" w14:textId="61AC4199">
      <w:pPr>
        <w:pStyle w:val="NormalWeb"/>
        <w:ind w:left="2268"/>
        <w:jc w:val="both"/>
        <w:rPr>
          <w:i/>
        </w:rPr>
      </w:pPr>
      <w:r w:rsidRPr="00433801">
        <w:rPr>
          <w:i/>
        </w:rPr>
        <w:t>§ 1</w:t>
      </w:r>
      <w:r w:rsidRPr="00433801">
        <w:rPr>
          <w:i/>
        </w:rPr>
        <w:t>o  Quando</w:t>
      </w:r>
      <w:r w:rsidRPr="00433801">
        <w:rPr>
          <w:i/>
        </w:rPr>
        <w:t xml:space="preserve"> decretada emergência sanitária, a queima de resíduos a céu aberto pode ser realizada, desde que autorizada e acompanhada pelos órgãos competentes do </w:t>
      </w:r>
      <w:r w:rsidRPr="00433801">
        <w:rPr>
          <w:i/>
        </w:rPr>
        <w:t>Sisnama</w:t>
      </w:r>
      <w:r w:rsidRPr="00433801">
        <w:rPr>
          <w:i/>
        </w:rPr>
        <w:t xml:space="preserve">, do SNVS e, quando couber, do </w:t>
      </w:r>
      <w:r w:rsidRPr="00433801">
        <w:rPr>
          <w:i/>
        </w:rPr>
        <w:t>Suasa</w:t>
      </w:r>
      <w:r w:rsidRPr="00433801">
        <w:rPr>
          <w:i/>
        </w:rPr>
        <w:t xml:space="preserve">. </w:t>
      </w:r>
    </w:p>
    <w:p w:rsidR="00433801" w:rsidRPr="00433801" w:rsidP="00433801" w14:paraId="2F42EA3A" w14:textId="0B5F73B5">
      <w:pPr>
        <w:pStyle w:val="NormalWeb"/>
        <w:ind w:left="2268"/>
        <w:jc w:val="both"/>
        <w:rPr>
          <w:i/>
        </w:rPr>
      </w:pPr>
      <w:r w:rsidRPr="00433801">
        <w:rPr>
          <w:i/>
        </w:rPr>
        <w:t>§ 2</w:t>
      </w:r>
      <w:r w:rsidRPr="00433801">
        <w:rPr>
          <w:i/>
        </w:rPr>
        <w:t>o  Assegurada</w:t>
      </w:r>
      <w:r w:rsidRPr="00433801">
        <w:rPr>
          <w:i/>
        </w:rPr>
        <w:t xml:space="preserve"> a devida impermeabilização, as bacias de decantação de resíduos ou rejeitos industriais ou de mineração, devidamente licenciadas pelo órgão competente do </w:t>
      </w:r>
      <w:r w:rsidRPr="00433801">
        <w:rPr>
          <w:i/>
        </w:rPr>
        <w:t>Sisnama</w:t>
      </w:r>
      <w:r w:rsidRPr="00433801">
        <w:rPr>
          <w:i/>
        </w:rPr>
        <w:t>, não são consideradas corpos hídricos para efeitos do disposto no inciso I do caput.</w:t>
      </w:r>
      <w:r>
        <w:rPr>
          <w:i/>
        </w:rPr>
        <w:t>(grifo nosso)</w:t>
      </w:r>
    </w:p>
    <w:p w:rsidR="001853EB" w:rsidP="001853EB" w14:paraId="21EA0D5F" w14:textId="2FE6CF9F">
      <w:pPr>
        <w:pStyle w:val="NormalWeb"/>
        <w:spacing w:line="360" w:lineRule="auto"/>
        <w:ind w:firstLine="720"/>
        <w:jc w:val="both"/>
      </w:pPr>
      <w:r>
        <w:t>Aliás, não é por demais lembrar que a União também editou a Lei nº 9.605/1998, que “</w:t>
      </w:r>
      <w:r w:rsidRPr="001853EB">
        <w:rPr>
          <w:i/>
        </w:rPr>
        <w:t xml:space="preserve">dispõe sobre as sanções penais e administrativas de condutas e atividades lesivas ao meio ambiente e dá outras providências” </w:t>
      </w:r>
      <w:r w:rsidRPr="00433801">
        <w:t>merecendo destaque que caracteriza ilícito penal, passível de pena de reclusão (na forma dolosa) ou detenção (na forma culposa)</w:t>
      </w:r>
      <w:r w:rsidRPr="001853EB">
        <w:rPr>
          <w:i/>
        </w:rPr>
        <w:t xml:space="preserve"> “causar poluição de qualquer natureza em níveis tais que resultem ou possam resultar em danos à saúde humana, </w:t>
      </w:r>
      <w:r w:rsidRPr="001853EB">
        <w:rPr>
          <w:i/>
        </w:rPr>
        <w:t>ou que provoquem a mortandade de animais ou a destruição significativa da flora</w:t>
      </w:r>
      <w:r w:rsidR="00433801">
        <w:t>” nos termos do artigo 54 da lei supracitada</w:t>
      </w:r>
      <w:r>
        <w:t>.</w:t>
      </w:r>
    </w:p>
    <w:p w:rsidR="001853EB" w:rsidP="001853EB" w14:paraId="3B43E0D9" w14:textId="6ADA60DC">
      <w:pPr>
        <w:pStyle w:val="NormalWeb"/>
        <w:spacing w:line="360" w:lineRule="auto"/>
        <w:ind w:firstLine="720"/>
        <w:jc w:val="both"/>
      </w:pPr>
      <w:r>
        <w:t>Desse mo</w:t>
      </w:r>
      <w:r w:rsidR="00E464A8">
        <w:t>do, não há vício</w:t>
      </w:r>
      <w:r>
        <w:t xml:space="preserve"> de inconstitucionalidade material na proposição que visa estabelecer norma proibitiva do descarte irregular de resíduos e/ou dejetos e/ou rejeitos que, por si só, geram prejuízos ambientais dos mais diversos e interferem na qualidade de vida dos munícipes.</w:t>
      </w:r>
    </w:p>
    <w:p w:rsidR="008E5ED2" w:rsidP="008E5ED2" w14:paraId="646DA628" w14:textId="495D7227">
      <w:pPr>
        <w:pStyle w:val="NormalWeb"/>
        <w:spacing w:line="360" w:lineRule="auto"/>
        <w:ind w:firstLine="720"/>
        <w:jc w:val="both"/>
      </w:pPr>
      <w:r>
        <w:t>Vale ressaltar que c</w:t>
      </w:r>
      <w:r>
        <w:t xml:space="preserve">onforme apontamentos da assessora jurídica externa (SGP), o próprio autor do projeto fez uma emenda modificativa visando a </w:t>
      </w:r>
      <w:r>
        <w:t>adequação do texto dos artigos 3</w:t>
      </w:r>
      <w:r>
        <w:t>°, 4°</w:t>
      </w:r>
      <w:r>
        <w:t xml:space="preserve"> e 5°.</w:t>
      </w:r>
    </w:p>
    <w:p w:rsidR="008E5ED2" w:rsidP="008E5ED2" w14:paraId="11D964F6" w14:textId="03DEDF41">
      <w:pPr>
        <w:pStyle w:val="NormalWeb"/>
        <w:spacing w:line="360" w:lineRule="auto"/>
        <w:ind w:firstLine="720"/>
        <w:jc w:val="both"/>
      </w:pPr>
      <w:r>
        <w:t xml:space="preserve">A emenda </w:t>
      </w:r>
      <w:r>
        <w:t>modificativa ao artigo 3º, teve</w:t>
      </w:r>
      <w:r>
        <w:t xml:space="preserve"> por esco</w:t>
      </w:r>
      <w:r>
        <w:t xml:space="preserve">po evitar a imposição direta da </w:t>
      </w:r>
      <w:r>
        <w:t>responsabilidade sobre uma secretaria específica, permitindo maior flexibilidade e respeitando</w:t>
      </w:r>
      <w:r>
        <w:t xml:space="preserve"> </w:t>
      </w:r>
      <w:r>
        <w:t>a divisão de atribuições dentro do Poder Executivo.</w:t>
      </w:r>
    </w:p>
    <w:p w:rsidR="008E5ED2" w:rsidP="008E5ED2" w14:paraId="63EC0F0F" w14:textId="3E216BCB">
      <w:pPr>
        <w:pStyle w:val="NormalWeb"/>
        <w:spacing w:line="360" w:lineRule="auto"/>
        <w:ind w:firstLine="720"/>
        <w:jc w:val="both"/>
      </w:pPr>
      <w:r>
        <w:t>A alteração do ar</w:t>
      </w:r>
      <w:r>
        <w:t xml:space="preserve">tigo 4º e seu parágrafo 1º, teve </w:t>
      </w:r>
      <w:r>
        <w:t>p</w:t>
      </w:r>
      <w:r>
        <w:t xml:space="preserve">or objetivo sanar o apontamento </w:t>
      </w:r>
      <w:r>
        <w:t>sobre a inconstitucionalidade da vinculação da penalid</w:t>
      </w:r>
      <w:r>
        <w:t xml:space="preserve">ade ao salário mínimo, conforme </w:t>
      </w:r>
      <w:r>
        <w:t>decidido pelo Supremo Tribunal Federal. Com a alteração,</w:t>
      </w:r>
      <w:r>
        <w:t xml:space="preserve"> retira a vinculação ao salário </w:t>
      </w:r>
      <w:r>
        <w:t>mínimo, e estabelece o valor da multa em moeda corrente com atualização anual pelo IPCA,</w:t>
      </w:r>
      <w:r>
        <w:t xml:space="preserve"> </w:t>
      </w:r>
      <w:r>
        <w:t>de acordo com o regramento do poder Executivo Municipal atualmente.</w:t>
      </w:r>
    </w:p>
    <w:p w:rsidR="008E5ED2" w:rsidP="008E5ED2" w14:paraId="05F640B1" w14:textId="4730B349">
      <w:pPr>
        <w:pStyle w:val="NormalWeb"/>
        <w:spacing w:line="360" w:lineRule="auto"/>
        <w:ind w:firstLine="720"/>
        <w:jc w:val="both"/>
      </w:pPr>
      <w:r>
        <w:t>A modificação do artigo 5º, foi</w:t>
      </w:r>
      <w:r>
        <w:t xml:space="preserve"> para evitar qualq</w:t>
      </w:r>
      <w:r>
        <w:t xml:space="preserve">uer tipo de ingerência no poder </w:t>
      </w:r>
      <w:r>
        <w:t>Executivo, portanto, essa alteração abre a possibilidade para que a análise das defesas não</w:t>
      </w:r>
      <w:r>
        <w:t xml:space="preserve"> </w:t>
      </w:r>
      <w:r>
        <w:t>fique vinculada exclusivamente à Secretaria Municipal de Meio Ambiente, permitindo que</w:t>
      </w:r>
      <w:r>
        <w:t xml:space="preserve"> </w:t>
      </w:r>
      <w:r>
        <w:t>outros órgãos competentes possam assumir essa respons</w:t>
      </w:r>
      <w:r>
        <w:t xml:space="preserve">abilidade, assim respeitando as </w:t>
      </w:r>
      <w:r>
        <w:t>atribuições de cada ente na administração pública municipal.</w:t>
      </w:r>
    </w:p>
    <w:p w:rsidR="00E464A8" w:rsidRPr="00433801" w:rsidP="001853EB" w14:paraId="49FA5DD4" w14:textId="16F398AE">
      <w:pPr>
        <w:pStyle w:val="NormalWeb"/>
        <w:spacing w:line="360" w:lineRule="auto"/>
        <w:ind w:firstLine="720"/>
        <w:jc w:val="both"/>
      </w:pPr>
      <w:r w:rsidRPr="00433801">
        <w:t>Quanto a deflagração do processo legislativo trata-se de iniciativa concorrente, podendo ser de autoria tanto do Poder Executivo quanto do Poder Legislativo visto que a matéria não está inserida no rol de iniciativas privativas do Chefe do Poder Executivo.</w:t>
      </w:r>
    </w:p>
    <w:p w:rsidR="00E464A8" w:rsidRPr="00433801" w:rsidP="00433801" w14:paraId="40F0B088" w14:textId="5B0E1E30">
      <w:pPr>
        <w:pStyle w:val="NormalWeb"/>
        <w:spacing w:line="360" w:lineRule="auto"/>
        <w:ind w:firstLine="720"/>
        <w:jc w:val="both"/>
      </w:pPr>
      <w:r w:rsidRPr="00E464A8">
        <w:t xml:space="preserve">Ainda, vale ressaltar a recente orientação do Supremo Tribunal Federal no julgamento da Repercussão geral (Tema n°917) vinculada ao RE n°878.911 no sentido de que “não usurpa a competência privativa do chefe do Poder Executivo lei que, embora crie despesa para a </w:t>
      </w:r>
      <w:r w:rsidRPr="00E464A8">
        <w:t>Administração Pública, não trata da sua estrutura ou da atribuição de seus órgãos nem do regime jurídico de servidores públicos”.</w:t>
      </w:r>
    </w:p>
    <w:p w:rsidR="003B1A59" w:rsidRPr="00433801" w:rsidP="00FA65BC" w14:paraId="37C22377" w14:textId="23BE3D9F">
      <w:pPr>
        <w:pStyle w:val="NormalWeb"/>
        <w:spacing w:line="360" w:lineRule="auto"/>
        <w:ind w:firstLine="720"/>
        <w:jc w:val="both"/>
      </w:pPr>
      <w:r w:rsidRPr="00433801">
        <w:t>Dia</w:t>
      </w:r>
      <w:r w:rsidRPr="00433801" w:rsidR="0059215B">
        <w:t>nte do exposto e</w:t>
      </w:r>
      <w:r w:rsidRPr="00433801">
        <w:t xml:space="preserve"> com base nos fundamentos expostos, concl</w:t>
      </w:r>
      <w:r w:rsidRPr="00433801" w:rsidR="00370F38">
        <w:t>ui-se que o Projeto de Lei n° 52</w:t>
      </w:r>
      <w:r w:rsidRPr="00433801">
        <w:t>/2025 atende os requisitos formais e materiais, demonstrando sua</w:t>
      </w:r>
      <w:r w:rsidR="00433801">
        <w:t xml:space="preserve"> relevância social, ambiental e legalidade,</w:t>
      </w:r>
      <w:r w:rsidRPr="00433801" w:rsidR="00370F38">
        <w:t xml:space="preserve"> apto a regular tramitação. 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C4290D" w:rsidRPr="00C4290D" w:rsidP="006A762A" w14:paraId="1500C6F7" w14:textId="4A19FC3A">
      <w:pPr>
        <w:pStyle w:val="NormalWeb"/>
        <w:spacing w:line="360" w:lineRule="auto"/>
        <w:jc w:val="both"/>
        <w:rPr>
          <w:b/>
        </w:rPr>
      </w:pPr>
      <w:r w:rsidRPr="00C4290D">
        <w:rPr>
          <w:b/>
        </w:rPr>
        <w:tab/>
      </w:r>
      <w:r w:rsidRPr="00C4290D">
        <w:t>A proposta busca</w:t>
      </w:r>
      <w:r w:rsidRPr="00C4290D">
        <w:rPr>
          <w:b/>
        </w:rPr>
        <w:t xml:space="preserve"> </w:t>
      </w:r>
      <w:r w:rsidRPr="00C4290D">
        <w:rPr>
          <w:rStyle w:val="Emphasis"/>
          <w:i w:val="0"/>
        </w:rPr>
        <w:t>dispor sobre a proibição do descarte irregular de lixo em terrenos, praças e demais áreas públicas e privadas no Município de Mogi Mirim.</w:t>
      </w:r>
    </w:p>
    <w:p w:rsidR="004B3FD2" w:rsidP="00C4290D" w14:paraId="7644F07F" w14:textId="7D9498CD">
      <w:pPr>
        <w:pStyle w:val="NormalWeb"/>
        <w:spacing w:line="360" w:lineRule="auto"/>
        <w:ind w:firstLine="708"/>
        <w:jc w:val="both"/>
        <w:rPr>
          <w:b/>
        </w:rPr>
      </w:pPr>
      <w:r>
        <w:t>Com isso, visa</w:t>
      </w:r>
      <w:r w:rsidR="00370F38">
        <w:rPr>
          <w:rStyle w:val="Emphasis"/>
          <w:i w:val="0"/>
        </w:rPr>
        <w:t xml:space="preserve"> combater</w:t>
      </w:r>
      <w:r w:rsidR="00681639">
        <w:rPr>
          <w:rStyle w:val="Emphasis"/>
          <w:i w:val="0"/>
        </w:rPr>
        <w:t xml:space="preserve"> o descarte irregular de lixo e </w:t>
      </w:r>
      <w:r>
        <w:rPr>
          <w:rStyle w:val="Emphasis"/>
          <w:i w:val="0"/>
        </w:rPr>
        <w:t xml:space="preserve">apresentar </w:t>
      </w:r>
      <w:r w:rsidR="00681639">
        <w:rPr>
          <w:rStyle w:val="Emphasis"/>
          <w:i w:val="0"/>
        </w:rPr>
        <w:t xml:space="preserve">uma solução para os graves problemas ambientais causados pela prática inadequada. O </w:t>
      </w:r>
      <w:r w:rsidR="001C6515">
        <w:rPr>
          <w:rStyle w:val="Emphasis"/>
          <w:i w:val="0"/>
        </w:rPr>
        <w:t>projeto</w:t>
      </w:r>
      <w:r w:rsidR="00681639">
        <w:rPr>
          <w:rStyle w:val="Emphasis"/>
          <w:i w:val="0"/>
        </w:rPr>
        <w:t xml:space="preserve"> tem como objetivo promover a conscientização sobre a importância do descarte correto dos resíduos produzidos pela comunidade local. </w:t>
      </w:r>
    </w:p>
    <w:p w:rsidR="001C6515" w:rsidP="001C6515" w14:paraId="1B1494BA" w14:textId="10796724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Sabe-se</w:t>
      </w:r>
      <w:r>
        <w:rPr>
          <w:rStyle w:val="titulo-principal"/>
          <w:sz w:val="24"/>
          <w:szCs w:val="24"/>
        </w:rPr>
        <w:t xml:space="preserve"> que os danos causados </w:t>
      </w:r>
      <w:r w:rsidR="00C4290D">
        <w:rPr>
          <w:rStyle w:val="titulo-principal"/>
          <w:sz w:val="24"/>
          <w:szCs w:val="24"/>
        </w:rPr>
        <w:t>são</w:t>
      </w:r>
      <w:r>
        <w:rPr>
          <w:rStyle w:val="titulo-principal"/>
          <w:sz w:val="24"/>
          <w:szCs w:val="24"/>
        </w:rPr>
        <w:t xml:space="preserve"> decorrentes d</w:t>
      </w:r>
      <w:r>
        <w:rPr>
          <w:rStyle w:val="titulo-principal"/>
          <w:sz w:val="24"/>
          <w:szCs w:val="24"/>
        </w:rPr>
        <w:t xml:space="preserve">o crescimento populacional e o aumento da produção de resíduos sólidos, juntamente com a falta de fiscalização adequada. Agora se faz necessário tomar algumas medidas para reduzir os atuais e os futuros danos ao meio ambiente. </w:t>
      </w:r>
    </w:p>
    <w:p w:rsidR="001C6515" w:rsidP="001C6515" w14:paraId="53198ACC" w14:textId="77777777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C4290D" w:rsidRPr="00C4290D" w:rsidP="00C4290D" w14:paraId="13C62723" w14:textId="0F35D4EC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As futuras medidas a serem tomadas, como a aplicação de multas ao infrator, servirão como forma de conscientizar e ensinar sobre a práti</w:t>
      </w:r>
      <w:r w:rsidR="001C6515">
        <w:rPr>
          <w:rStyle w:val="titulo-principal"/>
          <w:sz w:val="24"/>
          <w:szCs w:val="24"/>
        </w:rPr>
        <w:t xml:space="preserve">ca do descarte irregular, </w:t>
      </w:r>
      <w:r>
        <w:rPr>
          <w:rStyle w:val="titulo-principal"/>
          <w:sz w:val="24"/>
          <w:szCs w:val="24"/>
        </w:rPr>
        <w:t xml:space="preserve">estimulando a </w:t>
      </w:r>
      <w:r w:rsidRPr="00C4290D">
        <w:rPr>
          <w:rStyle w:val="titulo-principal"/>
          <w:sz w:val="24"/>
          <w:szCs w:val="24"/>
        </w:rPr>
        <w:t>comunidade a rea</w:t>
      </w:r>
      <w:r w:rsidRPr="00C4290D" w:rsidR="001C6515">
        <w:rPr>
          <w:rStyle w:val="titulo-principal"/>
          <w:sz w:val="24"/>
          <w:szCs w:val="24"/>
        </w:rPr>
        <w:t>lizar o descarte da forma adequad</w:t>
      </w:r>
      <w:r w:rsidRPr="00C4290D">
        <w:rPr>
          <w:rStyle w:val="titulo-principal"/>
          <w:sz w:val="24"/>
          <w:szCs w:val="24"/>
        </w:rPr>
        <w:t>a e de acordo c</w:t>
      </w:r>
      <w:r w:rsidRPr="00C4290D" w:rsidR="001C6515">
        <w:rPr>
          <w:rStyle w:val="titulo-principal"/>
          <w:sz w:val="24"/>
          <w:szCs w:val="24"/>
        </w:rPr>
        <w:t xml:space="preserve">om as normas legais, contribuído de forma significativa para a proteção do meio ambiente. </w:t>
      </w:r>
    </w:p>
    <w:p w:rsidR="00C4290D" w:rsidRPr="00C4290D" w:rsidP="00C4290D" w14:paraId="5644E90D" w14:textId="372620DE">
      <w:pPr>
        <w:pStyle w:val="NormalWeb"/>
        <w:spacing w:line="360" w:lineRule="auto"/>
        <w:ind w:firstLine="708"/>
        <w:jc w:val="both"/>
        <w:rPr>
          <w:rStyle w:val="titulo-principal"/>
        </w:rPr>
      </w:pPr>
      <w:r w:rsidRPr="00C4290D">
        <w:t xml:space="preserve">Portanto, a proposta é oportuna e conveniente, considerando que é uma realidade o cenário de </w:t>
      </w:r>
      <w:r w:rsidR="005941F9">
        <w:rPr>
          <w:rStyle w:val="Emphasis"/>
          <w:i w:val="0"/>
        </w:rPr>
        <w:t>problemas ambientais causados pela prática de descarte irregular de lixo, entulhos</w:t>
      </w:r>
      <w:r w:rsidRPr="00C4290D">
        <w:t xml:space="preserve">, sendo que </w:t>
      </w:r>
      <w:r w:rsidR="00DA3DCE">
        <w:t>proposição</w:t>
      </w:r>
      <w:r w:rsidR="005941F9">
        <w:t xml:space="preserve"> que visa estabelecer norma proibitiva é um meio eficaz com o fim de coibir tal comportamento e promover a conscientização sobre a importância do descarte correto dos resíduos.</w:t>
      </w:r>
    </w:p>
    <w:p w:rsidR="00F74441" w:rsidRPr="001C6515" w:rsidP="00C4290D" w14:paraId="38BA90DC" w14:textId="576F600A">
      <w:pPr>
        <w:spacing w:line="360" w:lineRule="auto"/>
        <w:jc w:val="both"/>
        <w:rPr>
          <w:sz w:val="24"/>
          <w:szCs w:val="24"/>
        </w:rPr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6D4B0C" w:rsidRPr="0020189E" w:rsidP="006D4B0C" w14:paraId="291617DC" w14:textId="77777777">
      <w:pPr>
        <w:pStyle w:val="NormalWeb"/>
        <w:spacing w:line="360" w:lineRule="auto"/>
        <w:ind w:firstLine="720"/>
        <w:jc w:val="both"/>
      </w:pPr>
      <w:r w:rsidRPr="005914C0">
        <w:t>Após análise detalhada do projeto o relator </w:t>
      </w:r>
      <w:r w:rsidRPr="005914C0">
        <w:rPr>
          <w:rStyle w:val="Strong"/>
        </w:rPr>
        <w:t>não propõe emendas</w:t>
      </w:r>
      <w:r w:rsidRPr="005914C0">
        <w:t> ao texto do projeto. A decisão de não propor emendas baseia-se no entendimento de que o projeto, em sua forma atual, já cumpre com seus objetivos.</w:t>
      </w:r>
    </w:p>
    <w:p w:rsidR="00F74441" w:rsidRPr="00D85ED2" w:rsidP="006D4B0C" w14:paraId="0344C6BF" w14:textId="4F9E2890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5F031065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370F38">
        <w:t>jeto de Lei nº 52</w:t>
      </w:r>
      <w:r w:rsidRPr="00D85ED2">
        <w:t xml:space="preserve"> de 2025, </w:t>
      </w:r>
      <w:r w:rsidR="00433801">
        <w:rPr>
          <w:rStyle w:val="Strong"/>
        </w:rPr>
        <w:t>sem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4EA2BCCA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6D4B0C">
        <w:rPr>
          <w:rStyle w:val="Strong"/>
        </w:rPr>
        <w:t xml:space="preserve"> “VEREADOR SANTO RÓTTOLI”, em 16</w:t>
      </w:r>
      <w:r w:rsidR="00433801">
        <w:rPr>
          <w:rStyle w:val="Strong"/>
        </w:rPr>
        <w:t xml:space="preserve"> de jul</w:t>
      </w:r>
      <w:r w:rsidR="001C6515">
        <w:rPr>
          <w:rStyle w:val="Strong"/>
        </w:rPr>
        <w:t>ho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322D3EF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Consulta/0289</w:t>
      </w:r>
      <w:r w:rsidRPr="00D85ED2" w:rsidR="00F13148">
        <w:rPr>
          <w:rStyle w:val="Strong"/>
        </w:rPr>
        <w:t>/2025/MN/G/</w:t>
      </w:r>
      <w:r>
        <w:rPr>
          <w:rStyle w:val="Strong"/>
        </w:rPr>
        <w:t>DDR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 w:rsidR="00C00566">
        <w:t xml:space="preserve"> e nacional</w:t>
      </w:r>
      <w:r w:rsidRPr="00D85ED2" w:rsidR="00E57571">
        <w:t>. Declara</w:t>
      </w:r>
      <w:r w:rsidRPr="00D85ED2" w:rsidR="00F13148">
        <w:t xml:space="preserve"> que a iniciativa de lei é concorrente entre Executivo e Legislativo. </w:t>
      </w:r>
    </w:p>
    <w:p w:rsidR="005C3A38" w:rsidRPr="005C3A38" w:rsidP="003D6D21" w14:paraId="2DA07225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</w:t>
      </w:r>
      <w:r w:rsidRPr="00DA3DCE">
        <w:rPr>
          <w:rStyle w:val="Strong"/>
          <w:b w:val="0"/>
        </w:rPr>
        <w:t xml:space="preserve">Art. </w:t>
      </w:r>
      <w:r w:rsidRPr="00DA3DCE" w:rsidR="003D4D2A">
        <w:rPr>
          <w:rStyle w:val="Strong"/>
          <w:b w:val="0"/>
        </w:rPr>
        <w:t>23, incisos VI e VII</w:t>
      </w:r>
      <w:r w:rsidRPr="00DA3DCE">
        <w:rPr>
          <w:rStyle w:val="Strong"/>
          <w:b w:val="0"/>
        </w:rPr>
        <w:t>, Art. 30, inciso I e Art. 225</w:t>
      </w:r>
      <w:r>
        <w:rPr>
          <w:rStyle w:val="Strong"/>
        </w:rPr>
        <w:t>.</w:t>
      </w:r>
    </w:p>
    <w:p w:rsidR="00DA3DCE" w:rsidRPr="00DA3DCE" w:rsidP="003D6D21" w14:paraId="7BEB0CF6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Estadual, </w:t>
      </w:r>
      <w:r w:rsidRPr="00DA3DCE">
        <w:rPr>
          <w:rStyle w:val="Strong"/>
          <w:b w:val="0"/>
        </w:rPr>
        <w:t>Art. 191</w:t>
      </w:r>
      <w:r>
        <w:rPr>
          <w:rStyle w:val="Strong"/>
        </w:rPr>
        <w:t>.</w:t>
      </w:r>
    </w:p>
    <w:p w:rsidR="00523B2E" w:rsidRPr="00D85ED2" w:rsidP="003D6D21" w14:paraId="0CD4AF72" w14:textId="21F86A1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Lei Orgânica do Município de Mogi Mirim, </w:t>
      </w:r>
      <w:r w:rsidRPr="00DA3DCE">
        <w:rPr>
          <w:rStyle w:val="Strong"/>
          <w:b w:val="0"/>
        </w:rPr>
        <w:t>Art. 186, VIII</w:t>
      </w:r>
      <w:r>
        <w:rPr>
          <w:rStyle w:val="Strong"/>
        </w:rPr>
        <w:t>.</w:t>
      </w:r>
      <w:r w:rsidR="003D4D2A">
        <w:rPr>
          <w:rStyle w:val="Strong"/>
        </w:rPr>
        <w:t xml:space="preserve"> </w:t>
      </w:r>
    </w:p>
    <w:p w:rsidR="00F13148" w:rsidRPr="00DA3DCE" w:rsidP="00DA3DCE" w14:paraId="3FCD4BA2" w14:textId="196FA24B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</w:rPr>
      </w:pPr>
      <w:r>
        <w:rPr>
          <w:rStyle w:val="Strong"/>
        </w:rPr>
        <w:t>Lei</w:t>
      </w:r>
      <w:r w:rsidR="00DA3DCE">
        <w:rPr>
          <w:rStyle w:val="Strong"/>
        </w:rPr>
        <w:t xml:space="preserve"> Federal n° 12.305/2010</w:t>
      </w:r>
      <w:r>
        <w:rPr>
          <w:rStyle w:val="Strong"/>
        </w:rPr>
        <w:t xml:space="preserve">: </w:t>
      </w:r>
      <w:r w:rsidRPr="00DA3DCE" w:rsidR="00DA3DCE">
        <w:rPr>
          <w:rStyle w:val="Strong"/>
        </w:rPr>
        <w:tab/>
      </w:r>
      <w:r w:rsidRPr="00DA3DCE" w:rsidR="00DA3DCE">
        <w:rPr>
          <w:rStyle w:val="Strong"/>
          <w:b w:val="0"/>
        </w:rPr>
        <w:t>Institui a Política Nacional de Resíduos Sólidos; altera a Lei no 9.605, de 12 de fevereiro de 1998; e dá outras providências.</w:t>
      </w:r>
    </w:p>
    <w:p w:rsidR="00DA3DCE" w:rsidP="00DA3DCE" w14:paraId="5F09F8CF" w14:textId="74645082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  <w:b w:val="0"/>
          <w:bCs w:val="0"/>
        </w:rPr>
      </w:pPr>
      <w:r w:rsidRPr="00DA3DCE">
        <w:rPr>
          <w:rStyle w:val="Strong"/>
          <w:bCs w:val="0"/>
        </w:rPr>
        <w:t>Lei Federal 9.605/1998</w:t>
      </w:r>
      <w:r>
        <w:rPr>
          <w:rStyle w:val="Strong"/>
          <w:b w:val="0"/>
          <w:bCs w:val="0"/>
        </w:rPr>
        <w:t xml:space="preserve">: </w:t>
      </w:r>
      <w:r w:rsidRPr="00DA3DCE">
        <w:rPr>
          <w:rStyle w:val="Strong"/>
          <w:b w:val="0"/>
          <w:bCs w:val="0"/>
        </w:rPr>
        <w:t>Dispõe sobre as sanções penais e administrativas derivadas de condutas e atividades lesivas ao meio ambiente, e dá outras providências.</w:t>
      </w:r>
    </w:p>
    <w:p w:rsidR="000C49A0" w:rsidRPr="000C49A0" w:rsidP="000C49A0" w14:paraId="746F3AFB" w14:textId="25CDB09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STF,  Repercussão</w:t>
      </w:r>
      <w:r w:rsidRPr="00D85ED2">
        <w:rPr>
          <w:rStyle w:val="Strong"/>
        </w:rPr>
        <w:t xml:space="preserve"> Geral (Tema n°917) RE n°878.911</w:t>
      </w:r>
      <w:r w:rsidRPr="00D85ED2">
        <w:t>, do Supremo Tribunal Federal, que firmou entendimento no sentido de que não usurpa a competência privativa do chefe do Poder Executivo lei de iniciativa parlamentar que apesar de criar despesa para a Administração Pública não versa sobre estrutura e atribuição de órgãos nem do regime jurídico de servidores públicos.</w:t>
      </w: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1CB55B31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4781D92" w14:textId="77777777">
      <w:pPr>
        <w:pStyle w:val="NormalWeb"/>
        <w:spacing w:before="0" w:beforeAutospacing="0" w:line="360" w:lineRule="auto"/>
        <w:ind w:left="720"/>
        <w:jc w:val="both"/>
      </w:pPr>
    </w:p>
    <w:p w:rsidR="006D4B0C" w:rsidP="0055728D" w14:paraId="54317EC7" w14:textId="77777777">
      <w:pPr>
        <w:pStyle w:val="NormalWeb"/>
        <w:spacing w:before="0" w:beforeAutospacing="0" w:line="360" w:lineRule="auto"/>
        <w:ind w:left="720"/>
        <w:jc w:val="both"/>
      </w:pPr>
    </w:p>
    <w:p w:rsidR="006D4B0C" w:rsidP="0055728D" w14:paraId="09D979A1" w14:textId="77777777">
      <w:pPr>
        <w:pStyle w:val="NormalWeb"/>
        <w:spacing w:before="0" w:beforeAutospacing="0" w:line="360" w:lineRule="auto"/>
        <w:ind w:left="720"/>
        <w:jc w:val="both"/>
      </w:pPr>
    </w:p>
    <w:p w:rsidR="006D4B0C" w:rsidP="0055728D" w14:paraId="771BC716" w14:textId="77777777">
      <w:pPr>
        <w:pStyle w:val="NormalWeb"/>
        <w:spacing w:before="0" w:beforeAutospacing="0" w:line="360" w:lineRule="auto"/>
        <w:ind w:left="720"/>
        <w:jc w:val="both"/>
      </w:pPr>
    </w:p>
    <w:p w:rsidR="006D4B0C" w:rsidP="0055728D" w14:paraId="7FB1A0A2" w14:textId="77777777">
      <w:pPr>
        <w:pStyle w:val="NormalWeb"/>
        <w:spacing w:before="0" w:beforeAutospacing="0" w:line="360" w:lineRule="auto"/>
        <w:ind w:left="720"/>
        <w:jc w:val="both"/>
      </w:pPr>
    </w:p>
    <w:p w:rsidR="006D4B0C" w:rsidP="0055728D" w14:paraId="5C6C5A9D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4845F16D" w14:textId="77777777">
      <w:pPr>
        <w:spacing w:line="380" w:lineRule="atLeast"/>
        <w:jc w:val="both"/>
        <w:rPr>
          <w:sz w:val="24"/>
          <w:szCs w:val="24"/>
        </w:rPr>
      </w:pPr>
    </w:p>
    <w:p w:rsidR="00F13148" w:rsidRPr="00D85ED2" w:rsidP="00F13148" w14:paraId="2BB5648D" w14:textId="373B19DE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54792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6D4B0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54792">
        <w:rPr>
          <w:rFonts w:ascii="Palatino Linotype" w:hAnsi="Palatino Linotype" w:cs="Arial"/>
          <w:b/>
          <w:sz w:val="24"/>
          <w:szCs w:val="24"/>
        </w:rPr>
        <w:t>AO PROJETO DE LEI N° 52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CC230E">
        <w:rPr>
          <w:rFonts w:ascii="Palatino Linotype" w:hAnsi="Palatino Linotype" w:cs="Arial"/>
          <w:b/>
          <w:sz w:val="24"/>
          <w:szCs w:val="24"/>
        </w:rPr>
        <w:t>MANOEL EDUARDO PEREIRA DA CRUZ PALOMINO</w:t>
      </w:r>
      <w:r w:rsidRPr="00D85ED2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1CD79E6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="006D4B0C">
        <w:rPr>
          <w:rFonts w:ascii="Palatino Linotype" w:hAnsi="Palatino Linotype" w:cs="Arial"/>
          <w:sz w:val="24"/>
          <w:szCs w:val="24"/>
        </w:rPr>
        <w:t xml:space="preserve"> o</w:t>
      </w:r>
      <w:r w:rsidR="005941F9">
        <w:rPr>
          <w:rFonts w:ascii="Palatino Linotype" w:hAnsi="Palatino Linotype" w:cs="Arial"/>
          <w:sz w:val="24"/>
          <w:szCs w:val="24"/>
        </w:rPr>
        <w:t xml:space="preserve"> </w:t>
      </w:r>
      <w:r w:rsidRPr="00D85ED2">
        <w:rPr>
          <w:rFonts w:ascii="Palatino Linotype" w:hAnsi="Palatino Linotype" w:cs="Arial"/>
          <w:sz w:val="24"/>
          <w:szCs w:val="24"/>
        </w:rPr>
        <w:t>artigo 35 da Resolução n° 276 de 09 de novembro de 2010 a Comissão Permanente de Justiça e Redação formaliza o presente PARECER F</w:t>
      </w:r>
      <w:r w:rsidR="00454792">
        <w:rPr>
          <w:rFonts w:ascii="Palatino Linotype" w:hAnsi="Palatino Linotype" w:cs="Arial"/>
          <w:sz w:val="24"/>
          <w:szCs w:val="24"/>
        </w:rPr>
        <w:t>AVORÁVEL ao Projeto de Lei n° 52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7038CE95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16</w:t>
      </w:r>
      <w:r w:rsidR="00DA3DCE">
        <w:rPr>
          <w:rFonts w:ascii="Palatino Linotype" w:hAnsi="Palatino Linotype" w:cs="Arial"/>
          <w:bCs/>
          <w:sz w:val="24"/>
          <w:szCs w:val="24"/>
        </w:rPr>
        <w:t xml:space="preserve"> de jul</w:t>
      </w:r>
      <w:r w:rsidR="00454792">
        <w:rPr>
          <w:rFonts w:ascii="Palatino Linotype" w:hAnsi="Palatino Linotype" w:cs="Arial"/>
          <w:bCs/>
          <w:sz w:val="24"/>
          <w:szCs w:val="24"/>
        </w:rPr>
        <w:t>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A3DCE" w:rsidP="0055728D" w14:paraId="67DC6E19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A3DCE" w:rsidP="0055728D" w14:paraId="0E78AEC5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A3DCE" w:rsidRPr="008C125D" w:rsidP="00DA3DCE" w14:paraId="676A4AC8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70732"/>
    <w:multiLevelType w:val="hybridMultilevel"/>
    <w:tmpl w:val="7FBA6084"/>
    <w:lvl w:ilvl="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B29DE"/>
    <w:rsid w:val="000C49A0"/>
    <w:rsid w:val="000F4933"/>
    <w:rsid w:val="00126AE5"/>
    <w:rsid w:val="0015590E"/>
    <w:rsid w:val="00181506"/>
    <w:rsid w:val="001853EB"/>
    <w:rsid w:val="00187FC6"/>
    <w:rsid w:val="001902E0"/>
    <w:rsid w:val="00192536"/>
    <w:rsid w:val="001A3CE4"/>
    <w:rsid w:val="001B7303"/>
    <w:rsid w:val="001C6515"/>
    <w:rsid w:val="0020165D"/>
    <w:rsid w:val="0020189E"/>
    <w:rsid w:val="00213987"/>
    <w:rsid w:val="00227E2C"/>
    <w:rsid w:val="00234376"/>
    <w:rsid w:val="00297379"/>
    <w:rsid w:val="002A2BD3"/>
    <w:rsid w:val="002A648D"/>
    <w:rsid w:val="002B71AC"/>
    <w:rsid w:val="002F3157"/>
    <w:rsid w:val="00305765"/>
    <w:rsid w:val="003121C8"/>
    <w:rsid w:val="00314B47"/>
    <w:rsid w:val="003200AF"/>
    <w:rsid w:val="00322469"/>
    <w:rsid w:val="00346786"/>
    <w:rsid w:val="00370F38"/>
    <w:rsid w:val="00371A69"/>
    <w:rsid w:val="0038129E"/>
    <w:rsid w:val="00381C00"/>
    <w:rsid w:val="003A5737"/>
    <w:rsid w:val="003A796B"/>
    <w:rsid w:val="003B03AA"/>
    <w:rsid w:val="003B1A59"/>
    <w:rsid w:val="003C6BCB"/>
    <w:rsid w:val="003D4D2A"/>
    <w:rsid w:val="003D6D21"/>
    <w:rsid w:val="003E5A51"/>
    <w:rsid w:val="003F0B47"/>
    <w:rsid w:val="003F64A5"/>
    <w:rsid w:val="00405098"/>
    <w:rsid w:val="00423EBB"/>
    <w:rsid w:val="00433801"/>
    <w:rsid w:val="00446FA1"/>
    <w:rsid w:val="00454792"/>
    <w:rsid w:val="004557B8"/>
    <w:rsid w:val="00456770"/>
    <w:rsid w:val="00493896"/>
    <w:rsid w:val="004B3FD2"/>
    <w:rsid w:val="004B6FDF"/>
    <w:rsid w:val="004D46DA"/>
    <w:rsid w:val="004D72B8"/>
    <w:rsid w:val="004E6092"/>
    <w:rsid w:val="00523B2E"/>
    <w:rsid w:val="005242B1"/>
    <w:rsid w:val="00543E03"/>
    <w:rsid w:val="005559D9"/>
    <w:rsid w:val="0055728D"/>
    <w:rsid w:val="0057515A"/>
    <w:rsid w:val="005914C0"/>
    <w:rsid w:val="0059215B"/>
    <w:rsid w:val="005941F9"/>
    <w:rsid w:val="005A235E"/>
    <w:rsid w:val="005A66B9"/>
    <w:rsid w:val="005A7A52"/>
    <w:rsid w:val="005B27A9"/>
    <w:rsid w:val="005B5D7B"/>
    <w:rsid w:val="005B766F"/>
    <w:rsid w:val="005C3A38"/>
    <w:rsid w:val="005D21C6"/>
    <w:rsid w:val="005E491E"/>
    <w:rsid w:val="005F2654"/>
    <w:rsid w:val="005F4E55"/>
    <w:rsid w:val="005F54DA"/>
    <w:rsid w:val="00613747"/>
    <w:rsid w:val="00670C69"/>
    <w:rsid w:val="00681639"/>
    <w:rsid w:val="006834FE"/>
    <w:rsid w:val="00697874"/>
    <w:rsid w:val="006A54A9"/>
    <w:rsid w:val="006A762A"/>
    <w:rsid w:val="006B5999"/>
    <w:rsid w:val="006D1946"/>
    <w:rsid w:val="006D4B0C"/>
    <w:rsid w:val="006E14A1"/>
    <w:rsid w:val="006F48DD"/>
    <w:rsid w:val="007038AD"/>
    <w:rsid w:val="00741F3B"/>
    <w:rsid w:val="00753ABE"/>
    <w:rsid w:val="007556D8"/>
    <w:rsid w:val="0078178E"/>
    <w:rsid w:val="00783794"/>
    <w:rsid w:val="00784CD4"/>
    <w:rsid w:val="00785E1B"/>
    <w:rsid w:val="007A058C"/>
    <w:rsid w:val="007A08D1"/>
    <w:rsid w:val="007B6058"/>
    <w:rsid w:val="007C6029"/>
    <w:rsid w:val="007D11B0"/>
    <w:rsid w:val="00804434"/>
    <w:rsid w:val="0081335D"/>
    <w:rsid w:val="00842408"/>
    <w:rsid w:val="00855DD2"/>
    <w:rsid w:val="00864928"/>
    <w:rsid w:val="008677CB"/>
    <w:rsid w:val="00881E60"/>
    <w:rsid w:val="0088465F"/>
    <w:rsid w:val="00887E40"/>
    <w:rsid w:val="008905C2"/>
    <w:rsid w:val="008A537A"/>
    <w:rsid w:val="008C08C5"/>
    <w:rsid w:val="008C125D"/>
    <w:rsid w:val="008C4AA2"/>
    <w:rsid w:val="008E5ED2"/>
    <w:rsid w:val="008F67DA"/>
    <w:rsid w:val="00902EE1"/>
    <w:rsid w:val="00903C3F"/>
    <w:rsid w:val="009048A2"/>
    <w:rsid w:val="00904ADF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3604"/>
    <w:rsid w:val="00A27446"/>
    <w:rsid w:val="00A672C0"/>
    <w:rsid w:val="00A92E38"/>
    <w:rsid w:val="00AD2770"/>
    <w:rsid w:val="00AE5858"/>
    <w:rsid w:val="00AF0C05"/>
    <w:rsid w:val="00AF3296"/>
    <w:rsid w:val="00AF4AC7"/>
    <w:rsid w:val="00B56345"/>
    <w:rsid w:val="00B57090"/>
    <w:rsid w:val="00B93959"/>
    <w:rsid w:val="00BA48C7"/>
    <w:rsid w:val="00BD0524"/>
    <w:rsid w:val="00BE41D6"/>
    <w:rsid w:val="00BE6938"/>
    <w:rsid w:val="00BF2A6F"/>
    <w:rsid w:val="00C00566"/>
    <w:rsid w:val="00C10154"/>
    <w:rsid w:val="00C4290D"/>
    <w:rsid w:val="00C74E3F"/>
    <w:rsid w:val="00C75973"/>
    <w:rsid w:val="00C762AE"/>
    <w:rsid w:val="00CA4349"/>
    <w:rsid w:val="00CB7739"/>
    <w:rsid w:val="00CC230E"/>
    <w:rsid w:val="00CC3E72"/>
    <w:rsid w:val="00CF288D"/>
    <w:rsid w:val="00D05748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A3DCE"/>
    <w:rsid w:val="00DA7AB4"/>
    <w:rsid w:val="00DC32F0"/>
    <w:rsid w:val="00DE2A9A"/>
    <w:rsid w:val="00DF605F"/>
    <w:rsid w:val="00E11ECC"/>
    <w:rsid w:val="00E3543A"/>
    <w:rsid w:val="00E464A8"/>
    <w:rsid w:val="00E57571"/>
    <w:rsid w:val="00E57668"/>
    <w:rsid w:val="00E7438B"/>
    <w:rsid w:val="00E978F5"/>
    <w:rsid w:val="00EA0447"/>
    <w:rsid w:val="00EA375D"/>
    <w:rsid w:val="00EA4E83"/>
    <w:rsid w:val="00EB1570"/>
    <w:rsid w:val="00EB18E4"/>
    <w:rsid w:val="00EB3C9A"/>
    <w:rsid w:val="00EC3B96"/>
    <w:rsid w:val="00EC5677"/>
    <w:rsid w:val="00EC5A3A"/>
    <w:rsid w:val="00ED7D93"/>
    <w:rsid w:val="00EE457C"/>
    <w:rsid w:val="00EF4DE4"/>
    <w:rsid w:val="00EF630E"/>
    <w:rsid w:val="00F00F78"/>
    <w:rsid w:val="00F10F57"/>
    <w:rsid w:val="00F112DF"/>
    <w:rsid w:val="00F13148"/>
    <w:rsid w:val="00F21F60"/>
    <w:rsid w:val="00F304D4"/>
    <w:rsid w:val="00F42F8D"/>
    <w:rsid w:val="00F55E24"/>
    <w:rsid w:val="00F6470D"/>
    <w:rsid w:val="00F733EC"/>
    <w:rsid w:val="00F74441"/>
    <w:rsid w:val="00F76350"/>
    <w:rsid w:val="00F8258E"/>
    <w:rsid w:val="00F83282"/>
    <w:rsid w:val="00F91A1F"/>
    <w:rsid w:val="00F921DB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</Pages>
  <Words>1882</Words>
  <Characters>10166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10</cp:revision>
  <cp:lastPrinted>2025-02-18T14:53:00Z</cp:lastPrinted>
  <dcterms:created xsi:type="dcterms:W3CDTF">2025-06-10T14:23:00Z</dcterms:created>
  <dcterms:modified xsi:type="dcterms:W3CDTF">2025-07-16T13:33:00Z</dcterms:modified>
</cp:coreProperties>
</file>