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FC2194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959B2" w:rsidP="003D6D21" w14:paraId="57D78F3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5C14CE" w:rsidP="003D6D21" w14:paraId="13EB12E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5C14CE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C14CE">
        <w:rPr>
          <w:b/>
          <w:color w:val="000000" w:themeColor="text1"/>
          <w:sz w:val="24"/>
          <w:szCs w:val="24"/>
        </w:rPr>
        <w:t>RELATÓRIO</w:t>
      </w:r>
    </w:p>
    <w:p w:rsidR="00A155B7" w:rsidP="00CB631F" w14:paraId="052508B3" w14:textId="5E7EAE73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5C14CE">
        <w:rPr>
          <w:rStyle w:val="Strong"/>
          <w:color w:val="000000" w:themeColor="text1"/>
        </w:rPr>
        <w:t>SUBSTITUTIVO</w:t>
      </w:r>
      <w:r w:rsidRPr="005C14CE" w:rsidR="00441727">
        <w:rPr>
          <w:rStyle w:val="Strong"/>
          <w:color w:val="000000" w:themeColor="text1"/>
        </w:rPr>
        <w:t xml:space="preserve"> Nº 1</w:t>
      </w:r>
      <w:r w:rsidRPr="005C14CE">
        <w:rPr>
          <w:rStyle w:val="Strong"/>
          <w:color w:val="000000" w:themeColor="text1"/>
        </w:rPr>
        <w:t xml:space="preserve"> AO </w:t>
      </w:r>
      <w:r w:rsidRPr="005C14CE" w:rsidR="006F3969">
        <w:rPr>
          <w:rStyle w:val="Strong"/>
          <w:color w:val="000000" w:themeColor="text1"/>
        </w:rPr>
        <w:t>PRO</w:t>
      </w:r>
      <w:r w:rsidRPr="005C14CE" w:rsidR="00BA6C13">
        <w:rPr>
          <w:rStyle w:val="Strong"/>
          <w:color w:val="000000" w:themeColor="text1"/>
        </w:rPr>
        <w:t xml:space="preserve">JETO DE </w:t>
      </w:r>
      <w:r w:rsidRPr="005C14CE" w:rsidR="00FB2327">
        <w:rPr>
          <w:rStyle w:val="Strong"/>
          <w:color w:val="000000" w:themeColor="text1"/>
        </w:rPr>
        <w:t>LEI</w:t>
      </w:r>
      <w:r w:rsidRPr="005C14CE" w:rsidR="00BA6C13">
        <w:rPr>
          <w:rStyle w:val="Strong"/>
          <w:color w:val="000000" w:themeColor="text1"/>
        </w:rPr>
        <w:t xml:space="preserve"> Nº </w:t>
      </w:r>
      <w:r w:rsidRPr="005C14CE" w:rsidR="003E3F2C">
        <w:rPr>
          <w:rStyle w:val="Strong"/>
          <w:color w:val="000000" w:themeColor="text1"/>
        </w:rPr>
        <w:t>66</w:t>
      </w:r>
      <w:r w:rsidRPr="005C14CE" w:rsidR="00F74441">
        <w:rPr>
          <w:rStyle w:val="Strong"/>
          <w:color w:val="000000" w:themeColor="text1"/>
        </w:rPr>
        <w:t xml:space="preserve"> DE 2025</w:t>
      </w:r>
    </w:p>
    <w:p w:rsidR="00F74441" w:rsidP="00CB631F" w14:paraId="4DE9CBF8" w14:textId="0FAACA5B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5C14CE">
        <w:rPr>
          <w:rStyle w:val="Emphasis"/>
          <w:color w:val="000000" w:themeColor="text1"/>
        </w:rPr>
        <w:t>INSTITUI NO CALENDÁRIO OFICIAL DE EVENTOS DO MUNICÍPIO DE MOGI MIRIM, O DIA 3 DE AGOSTO, COMO O “DIA DO CAC – COLECIONADOR, ATIRADOR DESPORTIVO E CAÇADOR”</w:t>
      </w:r>
      <w:r w:rsidRPr="005C14CE" w:rsidR="00450755">
        <w:rPr>
          <w:rStyle w:val="Emphasis"/>
          <w:color w:val="000000" w:themeColor="text1"/>
        </w:rPr>
        <w:t>.</w:t>
      </w:r>
    </w:p>
    <w:p w:rsidR="00F74441" w:rsidRPr="005C14CE" w:rsidP="00CB631F" w14:paraId="255CBB13" w14:textId="7910DB15">
      <w:pPr>
        <w:pStyle w:val="NormalWeb"/>
        <w:spacing w:line="360" w:lineRule="auto"/>
        <w:rPr>
          <w:color w:val="000000" w:themeColor="text1"/>
        </w:rPr>
      </w:pPr>
      <w:r w:rsidRPr="005C14CE">
        <w:rPr>
          <w:rStyle w:val="Strong"/>
          <w:color w:val="000000" w:themeColor="text1"/>
        </w:rPr>
        <w:t xml:space="preserve">RELATOR: VEREADOR </w:t>
      </w:r>
      <w:r w:rsidRPr="005C14CE" w:rsidR="006F3969">
        <w:rPr>
          <w:rStyle w:val="Strong"/>
          <w:color w:val="000000" w:themeColor="text1"/>
        </w:rPr>
        <w:t>MANOEL EDUARDO PEREIRA DA CRUZ PALOMINO</w:t>
      </w: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5C14CE" w:rsidP="00CB631F" w14:paraId="170C419C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</w:p>
    <w:p w:rsidR="00F74441" w:rsidRPr="005C14CE" w:rsidP="00CB631F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5C14CE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E3F2C" w:rsidRPr="005C14CE" w:rsidP="003E3F2C" w14:paraId="44A00AB1" w14:textId="77777777">
      <w:pPr>
        <w:pStyle w:val="NormalWeb"/>
        <w:spacing w:line="360" w:lineRule="auto"/>
        <w:jc w:val="both"/>
        <w:rPr>
          <w:rStyle w:val="titulo-principal"/>
        </w:rPr>
      </w:pPr>
      <w:r w:rsidRPr="005C14CE">
        <w:rPr>
          <w:color w:val="000000" w:themeColor="text1"/>
        </w:rPr>
        <w:tab/>
      </w:r>
      <w:r w:rsidRPr="005C14CE" w:rsidR="00450755">
        <w:rPr>
          <w:rStyle w:val="titulo-principal"/>
        </w:rPr>
        <w:t xml:space="preserve">O Substitutivo Nº 1 ao Projeto de Lei Nº </w:t>
      </w:r>
      <w:r w:rsidRPr="005C14CE">
        <w:rPr>
          <w:rStyle w:val="titulo-principal"/>
        </w:rPr>
        <w:t>66</w:t>
      </w:r>
      <w:r w:rsidRPr="005C14CE" w:rsidR="00450755">
        <w:rPr>
          <w:rStyle w:val="titulo-principal"/>
        </w:rPr>
        <w:t xml:space="preserve">/2025, de autoria do Vereador </w:t>
      </w:r>
      <w:r w:rsidRPr="005C14CE">
        <w:rPr>
          <w:rStyle w:val="titulo-principal"/>
        </w:rPr>
        <w:t>Márcio Dener Coran</w:t>
      </w:r>
      <w:r w:rsidRPr="005C14CE" w:rsidR="00450755">
        <w:rPr>
          <w:rStyle w:val="titulo-principal"/>
        </w:rPr>
        <w:t xml:space="preserve">, </w:t>
      </w:r>
      <w:r w:rsidRPr="005C14CE">
        <w:rPr>
          <w:rStyle w:val="titulo-principal"/>
        </w:rPr>
        <w:t xml:space="preserve">tem por objetivo instituir no Calendário Oficial de Eventos do Município de Mogi Mirim, o “Dia do CAC - Colecionador, Atirador Desportivo e Caçador”, a ser celebrado anualmente no dia 3 de agosto. </w:t>
      </w:r>
    </w:p>
    <w:p w:rsidR="003E3F2C" w:rsidRPr="005C14CE" w:rsidP="003E3F2C" w14:paraId="01377169" w14:textId="77777777">
      <w:pPr>
        <w:pStyle w:val="NormalWeb"/>
        <w:spacing w:line="360" w:lineRule="auto"/>
        <w:jc w:val="both"/>
        <w:rPr>
          <w:rStyle w:val="titulo-principal"/>
        </w:rPr>
      </w:pPr>
      <w:r w:rsidRPr="005C14CE">
        <w:rPr>
          <w:rStyle w:val="titulo-principal"/>
        </w:rPr>
        <w:tab/>
        <w:t>A</w:t>
      </w:r>
      <w:r w:rsidRPr="005C14CE">
        <w:rPr>
          <w:rStyle w:val="titulo-principal"/>
        </w:rPr>
        <w:t xml:space="preserve"> proposta surge em resposta a considerações de relevância histórica, cultural e social associadas a um grupo específico de cidadãos que praticam atividades controladas relacionadas ao uso de armas de fogo, regulamentadas pelo Exército Brasileiro, conforme os termos do Decreto Federal nº 11.615/2023 e da Lei nº 10.826/2003 (Estatuto do Desarmamento).</w:t>
      </w:r>
    </w:p>
    <w:p w:rsidR="00CB631F" w:rsidP="003E3F2C" w14:paraId="653912C2" w14:textId="4C3DC1B5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5C14CE">
        <w:rPr>
          <w:rStyle w:val="titulo-principal"/>
        </w:rPr>
        <w:t>A</w:t>
      </w:r>
      <w:r w:rsidRPr="005C14CE">
        <w:rPr>
          <w:rStyle w:val="titulo-principal"/>
        </w:rPr>
        <w:t xml:space="preserve"> justificativa do projeto destaca a importância do Tiro Desportivo, a proteção ambiental por meio da caça controlada, e a preservação do patrimônio cultural vivenciado por colecionadores. Além disso, o projeto visa a realização de ações educativas e promocionais acerca do tema, bem como a valorização dos atletas de alta performance neste segmento, que trazem visibilidade ao país nas competições internacionais.</w:t>
      </w:r>
    </w:p>
    <w:p w:rsidR="005C14CE" w:rsidP="003E3F2C" w14:paraId="783D13E4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</w:p>
    <w:p w:rsidR="00F74441" w:rsidRPr="005C14CE" w:rsidP="00CB631F" w14:paraId="380FED2D" w14:textId="77777777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5C14CE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CB631F" w:rsidRPr="005C14CE" w:rsidP="00CB631F" w14:paraId="54F48B15" w14:textId="77777777">
      <w:pPr>
        <w:rPr>
          <w:sz w:val="24"/>
          <w:szCs w:val="24"/>
        </w:rPr>
      </w:pPr>
    </w:p>
    <w:p w:rsidR="00F74441" w:rsidRPr="005C14CE" w:rsidP="00CB631F" w14:paraId="560AAA5E" w14:textId="75EACE1A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5C14CE">
        <w:rPr>
          <w:rStyle w:val="Strong"/>
          <w:b/>
          <w:bCs w:val="0"/>
          <w:color w:val="000000" w:themeColor="text1"/>
        </w:rPr>
        <w:t>Legalidade e Constitucionalidade</w:t>
      </w:r>
    </w:p>
    <w:p w:rsidR="00CB631F" w:rsidRPr="005C14CE" w:rsidP="00CB631F" w14:paraId="470069E2" w14:textId="77777777">
      <w:pPr>
        <w:rPr>
          <w:sz w:val="24"/>
          <w:szCs w:val="24"/>
        </w:rPr>
      </w:pPr>
    </w:p>
    <w:p w:rsidR="003E3F2C" w:rsidRPr="005C14CE" w:rsidP="005C14CE" w14:paraId="0C42A21C" w14:textId="28FA9E4E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5C14CE">
        <w:rPr>
          <w:color w:val="000000" w:themeColor="text1"/>
          <w:sz w:val="24"/>
          <w:szCs w:val="24"/>
        </w:rPr>
        <w:tab/>
      </w:r>
      <w:r w:rsidRPr="005C14CE">
        <w:rPr>
          <w:rStyle w:val="titulo-principal"/>
          <w:sz w:val="24"/>
          <w:szCs w:val="24"/>
        </w:rPr>
        <w:t>Preliminarmente, é importante ratificar que a criação de datas comemorativas é tema de interesse local, ao qual o Município de Mogi Mirim tem plena competência para legislar, conforme dispõe o art. 30, inciso I, da Constituição Federal. A proposta legislativa não apresenta vícios de origem, uma v</w:t>
      </w:r>
      <w:r w:rsidRPr="005C14CE">
        <w:rPr>
          <w:rStyle w:val="titulo-principal"/>
          <w:sz w:val="24"/>
          <w:szCs w:val="24"/>
        </w:rPr>
        <w:t>ez que a iniciativa é concorrente</w:t>
      </w:r>
      <w:r w:rsidRPr="005C14CE">
        <w:rPr>
          <w:rStyle w:val="titulo-principal"/>
          <w:sz w:val="24"/>
          <w:szCs w:val="24"/>
        </w:rPr>
        <w:t xml:space="preserve"> e não apresenta impedimentos constitucionais ou legais.</w:t>
      </w:r>
    </w:p>
    <w:p w:rsidR="003E3F2C" w:rsidRPr="005C14CE" w:rsidP="003E3F2C" w14:paraId="51CD55E9" w14:textId="2B8D006D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5C14CE">
        <w:rPr>
          <w:rStyle w:val="titulo-principal"/>
          <w:sz w:val="24"/>
          <w:szCs w:val="24"/>
        </w:rPr>
        <w:tab/>
        <w:t>O</w:t>
      </w:r>
      <w:r w:rsidRPr="005C14CE">
        <w:rPr>
          <w:rStyle w:val="titulo-principal"/>
          <w:sz w:val="24"/>
          <w:szCs w:val="24"/>
        </w:rPr>
        <w:t xml:space="preserve"> projeto de lei em análise, além de observar as diretrizes do </w:t>
      </w:r>
      <w:r w:rsidRPr="005C14CE" w:rsidR="005C14CE">
        <w:rPr>
          <w:rStyle w:val="titulo-principal"/>
          <w:sz w:val="24"/>
          <w:szCs w:val="24"/>
        </w:rPr>
        <w:t>controle e regulamentação estabelecida</w:t>
      </w:r>
      <w:r w:rsidRPr="005C14CE">
        <w:rPr>
          <w:rStyle w:val="titulo-principal"/>
          <w:sz w:val="24"/>
          <w:szCs w:val="24"/>
        </w:rPr>
        <w:t xml:space="preserve"> no Estatuto do Desarmamento, também se alinha com a jurisprudência do Supremo Tribunal Federal, que reconhece a possibilidade de o Poder Legislativo instituir datas comemorativas sem desvio de competência (ARE nº 879.811).</w:t>
      </w:r>
    </w:p>
    <w:p w:rsidR="00440F57" w:rsidRPr="005C14CE" w:rsidP="003E3F2C" w14:paraId="3436D67E" w14:textId="771B359F">
      <w:pPr>
        <w:pStyle w:val="BodyText"/>
        <w:spacing w:line="360" w:lineRule="auto"/>
        <w:ind w:firstLine="720"/>
        <w:jc w:val="both"/>
        <w:rPr>
          <w:sz w:val="24"/>
          <w:szCs w:val="24"/>
        </w:rPr>
      </w:pPr>
      <w:r w:rsidRPr="005C14CE">
        <w:rPr>
          <w:rStyle w:val="titulo-principal"/>
          <w:sz w:val="24"/>
          <w:szCs w:val="24"/>
        </w:rPr>
        <w:t>O</w:t>
      </w:r>
      <w:r w:rsidRPr="005C14CE">
        <w:rPr>
          <w:rStyle w:val="titulo-principal"/>
          <w:sz w:val="24"/>
          <w:szCs w:val="24"/>
        </w:rPr>
        <w:t>utrossim, a proposta não implica criação de despesas que comprometam a administração pública, uma vez que a comemoração do Dia do CAC não gera ônus que requeira a estrutura ou atribuição de órgãos do Executivo, respeitando o princípio da separação dos poderes.</w:t>
      </w:r>
      <w:r w:rsidRPr="005C14CE">
        <w:rPr>
          <w:sz w:val="24"/>
          <w:szCs w:val="24"/>
        </w:rPr>
        <w:br/>
      </w:r>
    </w:p>
    <w:p w:rsidR="00F74441" w:rsidRPr="005C14CE" w:rsidP="00EB4D4C" w14:paraId="0F32780D" w14:textId="302CE56B">
      <w:pPr>
        <w:pStyle w:val="BodyText"/>
        <w:numPr>
          <w:ilvl w:val="0"/>
          <w:numId w:val="15"/>
        </w:numPr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  <w:r w:rsidRPr="005C14CE">
        <w:rPr>
          <w:rStyle w:val="Strong"/>
          <w:bCs w:val="0"/>
          <w:color w:val="000000" w:themeColor="text1"/>
          <w:sz w:val="24"/>
          <w:szCs w:val="24"/>
        </w:rPr>
        <w:t>Conveniência e Oportunidade</w:t>
      </w:r>
    </w:p>
    <w:p w:rsidR="003E3F2C" w:rsidRPr="005C14CE" w:rsidP="003E3F2C" w14:paraId="0E7C8D4A" w14:textId="77777777">
      <w:pPr>
        <w:pStyle w:val="NormalWeb"/>
        <w:spacing w:line="360" w:lineRule="auto"/>
        <w:jc w:val="both"/>
        <w:rPr>
          <w:rStyle w:val="titulo-principal"/>
        </w:rPr>
      </w:pPr>
      <w:r w:rsidRPr="005C14CE">
        <w:rPr>
          <w:color w:val="000000" w:themeColor="text1"/>
        </w:rPr>
        <w:tab/>
      </w:r>
      <w:r w:rsidRPr="005C14CE">
        <w:rPr>
          <w:rStyle w:val="titulo-principal"/>
        </w:rPr>
        <w:t>A conveniência da proposta se justifica em função da relevância da prática dessas atividades no contexto social e cultural do município. Com o aumento das discussões acerca da regulamentação do uso de armas e segurança pública, a instituição do “Dia do CAC” poderá promover um espaço de diálogo e conscientização sobre as responsabilidades e regulamentações que cercam essas atividades.</w:t>
      </w:r>
    </w:p>
    <w:p w:rsidR="005F1C38" w:rsidP="003E3F2C" w14:paraId="5933CA31" w14:textId="7FAFA67A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5C14CE">
        <w:rPr>
          <w:rStyle w:val="titulo-principal"/>
        </w:rPr>
        <w:t>A</w:t>
      </w:r>
      <w:r w:rsidRPr="005C14CE">
        <w:rPr>
          <w:rStyle w:val="titulo-principal"/>
        </w:rPr>
        <w:t xml:space="preserve">demais, </w:t>
      </w:r>
      <w:r w:rsidRPr="005C14CE" w:rsidR="0011004C">
        <w:rPr>
          <w:rStyle w:val="titulo-principal"/>
        </w:rPr>
        <w:t xml:space="preserve">o projeto contribui com a abertura de </w:t>
      </w:r>
      <w:r w:rsidRPr="005C14CE">
        <w:rPr>
          <w:rStyle w:val="titulo-principal"/>
        </w:rPr>
        <w:t>um espaço para discussões propostas em torno dos direitos e deveres dos praticantes de atividades regulamentadas. A oportunidade de envolvimento da população através de eventos e educa</w:t>
      </w:r>
      <w:r w:rsidRPr="005C14CE" w:rsidR="0011004C">
        <w:rPr>
          <w:rStyle w:val="titulo-principal"/>
        </w:rPr>
        <w:t>ção</w:t>
      </w:r>
      <w:r w:rsidRPr="005C14CE">
        <w:rPr>
          <w:rStyle w:val="titulo-principal"/>
        </w:rPr>
        <w:t xml:space="preserve"> é uma ferramenta eficaz para a promoção do entendimento e do respeito às normas que regem a </w:t>
      </w:r>
      <w:r w:rsidRPr="005C14CE" w:rsidR="0011004C">
        <w:rPr>
          <w:rStyle w:val="titulo-principal"/>
        </w:rPr>
        <w:t xml:space="preserve">prática das atividades dos CACs, </w:t>
      </w:r>
      <w:r w:rsidRPr="005C14CE">
        <w:rPr>
          <w:rStyle w:val="titulo-principal"/>
        </w:rPr>
        <w:t>pode</w:t>
      </w:r>
      <w:r w:rsidRPr="005C14CE" w:rsidR="0011004C">
        <w:rPr>
          <w:rStyle w:val="titulo-principal"/>
        </w:rPr>
        <w:t xml:space="preserve">ndo </w:t>
      </w:r>
      <w:r w:rsidRPr="005C14CE">
        <w:rPr>
          <w:rStyle w:val="titulo-principal"/>
        </w:rPr>
        <w:t>também contribuir para o desenvolvimento econômico relacionado ao turismo, através da realização de eventos e competições.</w:t>
      </w:r>
    </w:p>
    <w:p w:rsidR="005C14CE" w:rsidRPr="005C14CE" w:rsidP="003E3F2C" w14:paraId="1092A18A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</w:p>
    <w:p w:rsidR="00F74441" w:rsidRPr="005C14CE" w:rsidP="00CB631F" w14:paraId="68542A3A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5C14CE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P="00CB631F" w14:paraId="0344C6BF" w14:textId="644BF17D">
      <w:pPr>
        <w:pStyle w:val="NormalWeb"/>
        <w:spacing w:line="360" w:lineRule="auto"/>
        <w:jc w:val="both"/>
        <w:rPr>
          <w:color w:val="000000" w:themeColor="text1"/>
        </w:rPr>
      </w:pPr>
      <w:r w:rsidRPr="005C14CE">
        <w:rPr>
          <w:color w:val="000000" w:themeColor="text1"/>
        </w:rPr>
        <w:tab/>
      </w:r>
      <w:r w:rsidRPr="005C14CE" w:rsidR="00FC2194">
        <w:rPr>
          <w:color w:val="000000" w:themeColor="text1"/>
        </w:rPr>
        <w:t>Após análise</w:t>
      </w:r>
      <w:r w:rsidRPr="005C14CE" w:rsidR="003B1A59">
        <w:rPr>
          <w:color w:val="000000" w:themeColor="text1"/>
        </w:rPr>
        <w:t xml:space="preserve"> do projeto, o relator </w:t>
      </w:r>
      <w:r w:rsidRPr="005C14CE" w:rsidR="003B1A59">
        <w:rPr>
          <w:rStyle w:val="Strong"/>
          <w:color w:val="000000" w:themeColor="text1"/>
        </w:rPr>
        <w:t>não propõe emendas</w:t>
      </w:r>
      <w:r w:rsidRPr="005C14CE" w:rsidR="00FC2194">
        <w:rPr>
          <w:color w:val="000000" w:themeColor="text1"/>
        </w:rPr>
        <w:t xml:space="preserve"> ao texto, haja vista </w:t>
      </w:r>
      <w:r w:rsidRPr="005C14CE" w:rsidR="0011004C">
        <w:rPr>
          <w:color w:val="000000" w:themeColor="text1"/>
        </w:rPr>
        <w:t>que o substitutivo apresentado sana os apontamentos já realizados pela Comissão de Justiça e Redação, bem como à consulta/0356/2025/DDR/G de fls. 10 a 17</w:t>
      </w:r>
      <w:r w:rsidRPr="005C14CE" w:rsidR="00FC2194">
        <w:rPr>
          <w:color w:val="000000" w:themeColor="text1"/>
        </w:rPr>
        <w:t>.</w:t>
      </w:r>
    </w:p>
    <w:p w:rsidR="005C14CE" w:rsidRPr="005C14CE" w:rsidP="00CB631F" w14:paraId="507C37C1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5C14CE" w:rsidP="00CB631F" w14:paraId="0089363A" w14:textId="5E591FC0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5C14CE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P="00CB631F" w14:paraId="214FFDEB" w14:textId="4873BDCE">
      <w:pPr>
        <w:pStyle w:val="NormalWeb"/>
        <w:spacing w:line="360" w:lineRule="auto"/>
        <w:jc w:val="both"/>
        <w:rPr>
          <w:color w:val="000000" w:themeColor="text1"/>
        </w:rPr>
      </w:pPr>
      <w:r w:rsidRPr="005C14CE">
        <w:rPr>
          <w:color w:val="000000" w:themeColor="text1"/>
        </w:rPr>
        <w:tab/>
      </w:r>
      <w:r w:rsidRPr="005C14CE" w:rsidR="00E73852">
        <w:t xml:space="preserve">Diante de todo o exposto, este Relator, considera que a presente propositura não apresenta vícios, recebendo parecer </w:t>
      </w:r>
      <w:r w:rsidRPr="005C14CE" w:rsidR="00E73852">
        <w:rPr>
          <w:b/>
        </w:rPr>
        <w:t>FAVORÁVEL</w:t>
      </w:r>
      <w:r w:rsidRPr="005C14CE" w:rsidR="00E73852">
        <w:t>.</w:t>
      </w:r>
      <w:r w:rsidRPr="005C14CE">
        <w:rPr>
          <w:color w:val="000000" w:themeColor="text1"/>
        </w:rPr>
        <w:t xml:space="preserve"> </w:t>
      </w:r>
    </w:p>
    <w:p w:rsidR="005C14CE" w:rsidP="00CB631F" w14:paraId="1B4567BF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5C14CE" w:rsidRPr="005C14CE" w:rsidP="00CB631F" w14:paraId="50A9D10B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5C14CE" w:rsidP="00CB631F" w14:paraId="6AB168D8" w14:textId="4EBF7E8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5C14CE">
        <w:rPr>
          <w:rStyle w:val="Strong"/>
          <w:color w:val="000000" w:themeColor="text1"/>
        </w:rPr>
        <w:t>SALA DAS SESSÕES</w:t>
      </w:r>
      <w:r w:rsidRPr="005C14CE" w:rsidR="0011004C">
        <w:rPr>
          <w:rStyle w:val="Strong"/>
          <w:color w:val="000000" w:themeColor="text1"/>
        </w:rPr>
        <w:t xml:space="preserve"> “VEREADOR SANTO RÓTTOLI”, em 29</w:t>
      </w:r>
      <w:r w:rsidRPr="005C14CE" w:rsidR="00C854A3">
        <w:rPr>
          <w:rStyle w:val="Strong"/>
          <w:color w:val="000000" w:themeColor="text1"/>
        </w:rPr>
        <w:t xml:space="preserve"> de ju</w:t>
      </w:r>
      <w:r w:rsidRPr="005C14CE" w:rsidR="0011004C">
        <w:rPr>
          <w:rStyle w:val="Strong"/>
          <w:color w:val="000000" w:themeColor="text1"/>
        </w:rPr>
        <w:t>lho</w:t>
      </w:r>
      <w:r w:rsidRPr="005C14CE">
        <w:rPr>
          <w:rStyle w:val="Strong"/>
          <w:color w:val="000000" w:themeColor="text1"/>
        </w:rPr>
        <w:t xml:space="preserve"> de 2025.</w:t>
      </w:r>
    </w:p>
    <w:p w:rsidR="00EB4D4C" w:rsidRPr="005C14CE" w:rsidP="00CB631F" w14:paraId="6F50078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5C14CE" w:rsidP="00CB631F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5C14CE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5C14CE" w:rsidP="00CB631F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5C14CE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5C14CE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5C14CE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5C14CE" w:rsidP="00CB631F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5C14CE">
        <w:rPr>
          <w:color w:val="000000" w:themeColor="text1"/>
          <w:sz w:val="24"/>
          <w:szCs w:val="24"/>
        </w:rPr>
        <w:t>Relator</w:t>
      </w:r>
    </w:p>
    <w:p w:rsidR="00EB4D4C" w:rsidP="00CB631F" w14:paraId="6C3D4DFC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5C14CE" w:rsidRPr="005C14CE" w:rsidP="00CB631F" w14:paraId="1DC577DA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FC2194" w:rsidP="00CB631F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5C14CE" w:rsidP="00CB631F" w14:paraId="010DA84F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5C14CE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3D6D21" w:rsidRPr="005C14CE" w:rsidP="006C3667" w14:paraId="01CD8FE5" w14:textId="3DFD540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</w:rPr>
      </w:pPr>
      <w:r w:rsidRPr="005C14CE">
        <w:rPr>
          <w:rStyle w:val="Strong"/>
          <w:b w:val="0"/>
          <w:color w:val="000000" w:themeColor="text1"/>
        </w:rPr>
        <w:t>Consulta/</w:t>
      </w:r>
      <w:r w:rsidRPr="005C14CE" w:rsidR="0011004C">
        <w:rPr>
          <w:rStyle w:val="Strong"/>
          <w:b w:val="0"/>
          <w:color w:val="000000" w:themeColor="text1"/>
        </w:rPr>
        <w:t>0356</w:t>
      </w:r>
      <w:r w:rsidRPr="005C14CE" w:rsidR="00431D6B">
        <w:rPr>
          <w:rStyle w:val="Strong"/>
          <w:b w:val="0"/>
          <w:color w:val="000000" w:themeColor="text1"/>
        </w:rPr>
        <w:t>/</w:t>
      </w:r>
      <w:r w:rsidRPr="005C14CE" w:rsidR="00F74441">
        <w:rPr>
          <w:rStyle w:val="Strong"/>
          <w:b w:val="0"/>
          <w:color w:val="000000" w:themeColor="text1"/>
        </w:rPr>
        <w:t>2025/</w:t>
      </w:r>
      <w:r w:rsidRPr="005C14CE" w:rsidR="0011004C">
        <w:rPr>
          <w:rStyle w:val="Strong"/>
          <w:b w:val="0"/>
          <w:color w:val="000000" w:themeColor="text1"/>
        </w:rPr>
        <w:t>DDR</w:t>
      </w:r>
      <w:r w:rsidRPr="005C14CE" w:rsidR="00F74441">
        <w:rPr>
          <w:rStyle w:val="Strong"/>
          <w:b w:val="0"/>
          <w:color w:val="000000" w:themeColor="text1"/>
        </w:rPr>
        <w:t>/G</w:t>
      </w:r>
      <w:r w:rsidRPr="005C14CE" w:rsidR="00F74441">
        <w:rPr>
          <w:color w:val="000000" w:themeColor="text1"/>
        </w:rPr>
        <w:t>, elaborada pela assessor</w:t>
      </w:r>
      <w:r w:rsidRPr="005C14CE" w:rsidR="00CC094F">
        <w:rPr>
          <w:color w:val="000000" w:themeColor="text1"/>
        </w:rPr>
        <w:t>ia jurídica externa</w:t>
      </w:r>
      <w:r w:rsidRPr="005C14CE" w:rsidR="0011004C">
        <w:rPr>
          <w:color w:val="000000" w:themeColor="text1"/>
        </w:rPr>
        <w:t xml:space="preserve"> - SGP</w:t>
      </w:r>
      <w:r w:rsidRPr="005C14CE" w:rsidR="00CB631F">
        <w:rPr>
          <w:color w:val="000000" w:themeColor="text1"/>
        </w:rPr>
        <w:t>.</w:t>
      </w:r>
      <w:r w:rsidRPr="005C14CE" w:rsidR="00517CEC">
        <w:rPr>
          <w:color w:val="000000" w:themeColor="text1"/>
        </w:rPr>
        <w:t xml:space="preserve"> </w:t>
      </w:r>
    </w:p>
    <w:p w:rsidR="0011004C" w:rsidRPr="005C14CE" w:rsidP="006C3667" w14:paraId="3A8DAC05" w14:textId="0801DE1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color w:val="000000" w:themeColor="text1"/>
        </w:rPr>
      </w:pPr>
      <w:r w:rsidRPr="005C14CE">
        <w:rPr>
          <w:rStyle w:val="titulo-principal"/>
        </w:rPr>
        <w:t>Constituição da República Federativa do Brasil, art. 30, I.</w:t>
      </w:r>
    </w:p>
    <w:p w:rsidR="0011004C" w:rsidRPr="005C14CE" w:rsidP="006C3667" w14:paraId="4AB1B2F4" w14:textId="189542E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titulo-principal"/>
          <w:color w:val="000000" w:themeColor="text1"/>
        </w:rPr>
      </w:pPr>
      <w:r w:rsidRPr="005C14CE">
        <w:rPr>
          <w:rStyle w:val="titulo-principal"/>
        </w:rPr>
        <w:t>Lei nº 10.826/2003 - Estatuto do Desarmamento.</w:t>
      </w:r>
    </w:p>
    <w:p w:rsidR="0011004C" w:rsidRPr="005C14CE" w:rsidP="006C3667" w14:paraId="3133BAEF" w14:textId="3C6AA88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</w:rPr>
      </w:pPr>
      <w:r w:rsidRPr="005C14CE">
        <w:rPr>
          <w:rStyle w:val="titulo-principal"/>
        </w:rPr>
        <w:t>Decreto Federal nº 11.615/2023.</w:t>
      </w:r>
    </w:p>
    <w:p w:rsidR="00CB631F" w:rsidP="00CB631F" w14:paraId="12914D1A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11004C" w:rsidP="00CB631F" w14:paraId="4B30C0D7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11004C" w:rsidP="00CB631F" w14:paraId="707C3556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FC2194" w:rsidP="00CB631F" w14:paraId="106B8342" w14:textId="76CE9BC6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FC2194">
        <w:rPr>
          <w:b/>
          <w:color w:val="000000" w:themeColor="text1"/>
        </w:rPr>
        <w:t>PARECER FAVORÁVEL DA COMISSÃO DE JUSTIÇA E REDAÇÃO AO</w:t>
      </w:r>
      <w:r w:rsidR="00184194">
        <w:rPr>
          <w:b/>
          <w:color w:val="000000" w:themeColor="text1"/>
        </w:rPr>
        <w:t xml:space="preserve"> SUBSTITUTIVO </w:t>
      </w:r>
      <w:r w:rsidR="00EB4D4C">
        <w:rPr>
          <w:b/>
          <w:color w:val="000000" w:themeColor="text1"/>
        </w:rPr>
        <w:t>Nº</w:t>
      </w:r>
      <w:r w:rsidR="0050357A">
        <w:rPr>
          <w:b/>
          <w:color w:val="000000" w:themeColor="text1"/>
        </w:rPr>
        <w:t xml:space="preserve"> 1</w:t>
      </w:r>
      <w:r w:rsidR="00E90F57">
        <w:rPr>
          <w:b/>
          <w:color w:val="000000" w:themeColor="text1"/>
        </w:rPr>
        <w:t xml:space="preserve"> </w:t>
      </w:r>
      <w:r w:rsidR="00184194">
        <w:rPr>
          <w:b/>
          <w:color w:val="000000" w:themeColor="text1"/>
        </w:rPr>
        <w:t>AO</w:t>
      </w:r>
      <w:r w:rsidRPr="00FC2194">
        <w:rPr>
          <w:b/>
          <w:color w:val="000000" w:themeColor="text1"/>
        </w:rPr>
        <w:t xml:space="preserve"> PROJETO DE LEI N° </w:t>
      </w:r>
      <w:r w:rsidR="0011004C">
        <w:rPr>
          <w:b/>
          <w:color w:val="000000" w:themeColor="text1"/>
        </w:rPr>
        <w:t>66</w:t>
      </w:r>
      <w:r w:rsidRPr="00FC2194">
        <w:rPr>
          <w:b/>
          <w:color w:val="000000" w:themeColor="text1"/>
        </w:rPr>
        <w:t xml:space="preserve"> DE 2025 DE AUTORIA D</w:t>
      </w:r>
      <w:r w:rsidR="00E959B2">
        <w:rPr>
          <w:b/>
          <w:color w:val="000000" w:themeColor="text1"/>
        </w:rPr>
        <w:t>O VEREADOR</w:t>
      </w:r>
      <w:r w:rsidR="0011004C">
        <w:rPr>
          <w:b/>
          <w:color w:val="000000" w:themeColor="text1"/>
        </w:rPr>
        <w:t xml:space="preserve"> MÁRCIO DENER CORAN E OUTROS</w:t>
      </w:r>
      <w:r w:rsidRPr="00FC2194">
        <w:rPr>
          <w:b/>
          <w:color w:val="000000" w:themeColor="text1"/>
        </w:rPr>
        <w:t>.</w:t>
      </w:r>
    </w:p>
    <w:p w:rsidR="00CB631F" w:rsidRPr="00FC2194" w:rsidP="00CB631F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FC2194" w:rsidP="00CB631F" w14:paraId="07973BF2" w14:textId="7CCDD683">
      <w:pPr>
        <w:pStyle w:val="NormalWeb"/>
        <w:spacing w:line="360" w:lineRule="auto"/>
        <w:jc w:val="both"/>
      </w:pPr>
      <w:r w:rsidRPr="00FC2194">
        <w:rPr>
          <w:color w:val="000000" w:themeColor="text1"/>
        </w:rPr>
        <w:tab/>
      </w:r>
      <w:r w:rsidRPr="00FC2194">
        <w:t>Seguindo o Voto exarado pelo Relator, nos termos dos artigos 35 da Resolução nº 276, de 09 de novembro de 2010</w:t>
      </w:r>
      <w:r w:rsidR="00184194">
        <w:t xml:space="preserve">, A Comissão Permanente de Justiça e Redação formaliza o presente </w:t>
      </w:r>
      <w:r w:rsidRPr="00E959B2" w:rsidR="00184194">
        <w:rPr>
          <w:b/>
        </w:rPr>
        <w:t>PARECER FAVORÁVEL</w:t>
      </w:r>
      <w:r w:rsidR="00184194">
        <w:t xml:space="preserve"> ao Su</w:t>
      </w:r>
      <w:r w:rsidR="0011004C">
        <w:t>bstitutivo ao Projeto de Lei nº 66</w:t>
      </w:r>
      <w:r w:rsidR="00184194">
        <w:t xml:space="preserve"> de 2025</w:t>
      </w:r>
      <w:r w:rsidRPr="00FC2194">
        <w:t>.</w:t>
      </w:r>
    </w:p>
    <w:p w:rsidR="00CB631F" w:rsidRPr="00FC2194" w:rsidP="00CB631F" w14:paraId="4FE36989" w14:textId="4B2601C1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29</w:t>
      </w:r>
      <w:r w:rsidRPr="00FC2194">
        <w:rPr>
          <w:sz w:val="24"/>
          <w:szCs w:val="24"/>
        </w:rPr>
        <w:t xml:space="preserve"> de </w:t>
      </w:r>
      <w:r w:rsidR="00E959B2">
        <w:rPr>
          <w:sz w:val="24"/>
          <w:szCs w:val="24"/>
        </w:rPr>
        <w:t>ju</w:t>
      </w:r>
      <w:r>
        <w:rPr>
          <w:sz w:val="24"/>
          <w:szCs w:val="24"/>
        </w:rPr>
        <w:t xml:space="preserve">lho </w:t>
      </w:r>
      <w:r w:rsidRPr="00FC2194">
        <w:rPr>
          <w:sz w:val="24"/>
          <w:szCs w:val="24"/>
        </w:rPr>
        <w:t>de 2025.</w:t>
      </w:r>
    </w:p>
    <w:p w:rsidR="00CB631F" w:rsidRPr="00FC2194" w:rsidP="00CB631F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C2194" w:rsidP="00CB631F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FC2194" w:rsidP="00CB631F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B631F" w:rsidRPr="00FC2194" w:rsidP="00CB631F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FC2194" w:rsidP="00CB631F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FC2194" w:rsidP="00CB631F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FC2194" w:rsidP="00CB631F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FC2194" w:rsidP="00CB631F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P="00CB631F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84194" w:rsidRPr="00FC2194" w:rsidP="00CB631F" w14:paraId="7F67FA27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C2194" w:rsidP="00CB631F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FC2194" w:rsidP="00CB631F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C2194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FC2194" w:rsidP="00CB631F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18CA"/>
    <w:rsid w:val="00037531"/>
    <w:rsid w:val="00041A2D"/>
    <w:rsid w:val="00070FE7"/>
    <w:rsid w:val="00071EF2"/>
    <w:rsid w:val="0008150E"/>
    <w:rsid w:val="00096F36"/>
    <w:rsid w:val="000A1BE0"/>
    <w:rsid w:val="000F4933"/>
    <w:rsid w:val="0011004C"/>
    <w:rsid w:val="00126AE5"/>
    <w:rsid w:val="0015590E"/>
    <w:rsid w:val="00181506"/>
    <w:rsid w:val="00184194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3CA0"/>
    <w:rsid w:val="003A5737"/>
    <w:rsid w:val="003A796B"/>
    <w:rsid w:val="003B1A59"/>
    <w:rsid w:val="003D6D21"/>
    <w:rsid w:val="003E3F2C"/>
    <w:rsid w:val="003F0B47"/>
    <w:rsid w:val="00405098"/>
    <w:rsid w:val="00411661"/>
    <w:rsid w:val="004132A5"/>
    <w:rsid w:val="00431D6B"/>
    <w:rsid w:val="00440F57"/>
    <w:rsid w:val="00441727"/>
    <w:rsid w:val="00446FA1"/>
    <w:rsid w:val="00450755"/>
    <w:rsid w:val="00456770"/>
    <w:rsid w:val="00477C67"/>
    <w:rsid w:val="004B6FDF"/>
    <w:rsid w:val="004D46DA"/>
    <w:rsid w:val="004E3A21"/>
    <w:rsid w:val="004E6092"/>
    <w:rsid w:val="0050357A"/>
    <w:rsid w:val="00517CEC"/>
    <w:rsid w:val="005242B1"/>
    <w:rsid w:val="005559D9"/>
    <w:rsid w:val="0057515A"/>
    <w:rsid w:val="005A235E"/>
    <w:rsid w:val="005B766F"/>
    <w:rsid w:val="005C14CE"/>
    <w:rsid w:val="005E491E"/>
    <w:rsid w:val="005F1C38"/>
    <w:rsid w:val="005F2654"/>
    <w:rsid w:val="005F4E55"/>
    <w:rsid w:val="005F54DA"/>
    <w:rsid w:val="0060437A"/>
    <w:rsid w:val="00613747"/>
    <w:rsid w:val="006606C0"/>
    <w:rsid w:val="006834FE"/>
    <w:rsid w:val="00697874"/>
    <w:rsid w:val="006A54A9"/>
    <w:rsid w:val="006C3667"/>
    <w:rsid w:val="006D3DCC"/>
    <w:rsid w:val="006F3969"/>
    <w:rsid w:val="007038AD"/>
    <w:rsid w:val="007556D8"/>
    <w:rsid w:val="0078178E"/>
    <w:rsid w:val="00784CD4"/>
    <w:rsid w:val="00785E1B"/>
    <w:rsid w:val="007A08D1"/>
    <w:rsid w:val="007F6796"/>
    <w:rsid w:val="008151FE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3E9"/>
    <w:rsid w:val="008C4AA2"/>
    <w:rsid w:val="0090178E"/>
    <w:rsid w:val="00902EE1"/>
    <w:rsid w:val="00904ADF"/>
    <w:rsid w:val="00910962"/>
    <w:rsid w:val="00914ADC"/>
    <w:rsid w:val="00920A3F"/>
    <w:rsid w:val="00925E1A"/>
    <w:rsid w:val="0095508D"/>
    <w:rsid w:val="009637A5"/>
    <w:rsid w:val="009B2889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00B0F"/>
    <w:rsid w:val="00B1430A"/>
    <w:rsid w:val="00B57090"/>
    <w:rsid w:val="00B571F3"/>
    <w:rsid w:val="00B66D31"/>
    <w:rsid w:val="00B76A2A"/>
    <w:rsid w:val="00B9125A"/>
    <w:rsid w:val="00BA48C7"/>
    <w:rsid w:val="00BA6C13"/>
    <w:rsid w:val="00BB55D0"/>
    <w:rsid w:val="00BE41D6"/>
    <w:rsid w:val="00BF2A6F"/>
    <w:rsid w:val="00C00781"/>
    <w:rsid w:val="00C03449"/>
    <w:rsid w:val="00C10154"/>
    <w:rsid w:val="00C74E3F"/>
    <w:rsid w:val="00C75973"/>
    <w:rsid w:val="00C854A3"/>
    <w:rsid w:val="00CA4349"/>
    <w:rsid w:val="00CA4BBA"/>
    <w:rsid w:val="00CB631F"/>
    <w:rsid w:val="00CB7851"/>
    <w:rsid w:val="00CC094F"/>
    <w:rsid w:val="00CC3E72"/>
    <w:rsid w:val="00CF288D"/>
    <w:rsid w:val="00CF374B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90F57"/>
    <w:rsid w:val="00E959B2"/>
    <w:rsid w:val="00EA0447"/>
    <w:rsid w:val="00EA375D"/>
    <w:rsid w:val="00EB1570"/>
    <w:rsid w:val="00EB3C9A"/>
    <w:rsid w:val="00EB4D4C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44DF3"/>
    <w:rsid w:val="00F55E24"/>
    <w:rsid w:val="00F633DE"/>
    <w:rsid w:val="00F733EC"/>
    <w:rsid w:val="00F74441"/>
    <w:rsid w:val="00F83282"/>
    <w:rsid w:val="00F91A1F"/>
    <w:rsid w:val="00F921DB"/>
    <w:rsid w:val="00FB2327"/>
    <w:rsid w:val="00FC1854"/>
    <w:rsid w:val="00FC2194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3A4DB6-3930-4C21-AD15-44F3533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2025-07-29T17:01:00Z</dcterms:created>
  <dcterms:modified xsi:type="dcterms:W3CDTF">2025-07-29T17:01:00Z</dcterms:modified>
</cp:coreProperties>
</file>