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4F652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C97569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C97569" w:rsidR="008649A4">
        <w:rPr>
          <w:rFonts w:asciiTheme="minorHAnsi" w:hAnsiTheme="minorHAnsi" w:cstheme="minorHAnsi"/>
          <w:sz w:val="24"/>
          <w:szCs w:val="24"/>
        </w:rPr>
        <w:t xml:space="preserve">Conforme determina o </w:t>
      </w:r>
      <w:r w:rsidRPr="00C97569" w:rsidR="00D510D8">
        <w:rPr>
          <w:rFonts w:asciiTheme="minorHAnsi" w:hAnsiTheme="minorHAnsi" w:cstheme="minorHAnsi"/>
          <w:sz w:val="24"/>
          <w:szCs w:val="24"/>
        </w:rPr>
        <w:t>artigo 39</w:t>
      </w:r>
      <w:r w:rsidRPr="00C97569" w:rsidR="008649A4">
        <w:rPr>
          <w:rFonts w:asciiTheme="minorHAnsi" w:hAnsiTheme="minorHAnsi" w:cstheme="minorHAnsi"/>
          <w:sz w:val="24"/>
          <w:szCs w:val="24"/>
        </w:rPr>
        <w:t xml:space="preserve"> do Regimento Interno </w:t>
      </w:r>
      <w:r w:rsidRPr="00C97569" w:rsidR="00D510D8">
        <w:rPr>
          <w:rFonts w:asciiTheme="minorHAnsi" w:hAnsiTheme="minorHAnsi" w:cstheme="minorHAnsi"/>
          <w:sz w:val="24"/>
          <w:szCs w:val="24"/>
        </w:rPr>
        <w:t xml:space="preserve">Vigente a </w:t>
      </w:r>
      <w:r w:rsidRPr="00C97569" w:rsidR="00D510D8">
        <w:rPr>
          <w:rFonts w:asciiTheme="minorHAnsi" w:hAnsiTheme="minorHAnsi" w:cstheme="minorHAnsi"/>
          <w:b/>
          <w:bCs/>
          <w:sz w:val="24"/>
          <w:szCs w:val="24"/>
        </w:rPr>
        <w:t>COMISSÃO</w:t>
      </w:r>
      <w:r w:rsidRPr="00C97569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Pr="00C97569" w:rsidR="008649A4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C97569" w:rsidR="00D510D8">
        <w:rPr>
          <w:rFonts w:asciiTheme="minorHAnsi" w:hAnsiTheme="minorHAnsi" w:cstheme="minorHAnsi"/>
          <w:bCs/>
          <w:sz w:val="24"/>
          <w:szCs w:val="24"/>
        </w:rPr>
        <w:t>a</w:t>
      </w:r>
      <w:r w:rsidRPr="00C97569" w:rsidR="00D510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97569" w:rsidR="00D510D8">
        <w:rPr>
          <w:rFonts w:asciiTheme="minorHAnsi" w:hAnsiTheme="minorHAnsi" w:cstheme="minorHAnsi"/>
          <w:sz w:val="24"/>
          <w:szCs w:val="24"/>
        </w:rPr>
        <w:t>nobre</w:t>
      </w:r>
      <w:r w:rsidRPr="00C97569">
        <w:rPr>
          <w:rFonts w:asciiTheme="minorHAnsi" w:hAnsiTheme="minorHAnsi" w:cstheme="minorHAnsi"/>
          <w:sz w:val="24"/>
          <w:szCs w:val="24"/>
        </w:rPr>
        <w:t xml:space="preserve"> missão de apresentar o presente Relatório em relação ao Projeto de </w:t>
      </w:r>
      <w:r w:rsidRPr="00C97569" w:rsidR="00CC422D">
        <w:rPr>
          <w:rFonts w:asciiTheme="minorHAnsi" w:hAnsiTheme="minorHAnsi" w:cstheme="minorHAnsi"/>
          <w:sz w:val="24"/>
          <w:szCs w:val="24"/>
        </w:rPr>
        <w:t>Lei</w:t>
      </w:r>
      <w:r w:rsidRPr="00C97569" w:rsidR="003C0C62">
        <w:rPr>
          <w:rFonts w:asciiTheme="minorHAnsi" w:hAnsiTheme="minorHAnsi" w:cstheme="minorHAnsi"/>
          <w:sz w:val="24"/>
          <w:szCs w:val="24"/>
        </w:rPr>
        <w:t xml:space="preserve"> nº </w:t>
      </w:r>
      <w:r w:rsidR="00A0370B">
        <w:rPr>
          <w:rFonts w:asciiTheme="minorHAnsi" w:hAnsiTheme="minorHAnsi" w:cstheme="minorHAnsi"/>
          <w:sz w:val="24"/>
          <w:szCs w:val="24"/>
        </w:rPr>
        <w:t>63</w:t>
      </w:r>
      <w:r w:rsidRPr="00C97569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C97569">
        <w:rPr>
          <w:rFonts w:asciiTheme="minorHAnsi" w:hAnsiTheme="minorHAnsi" w:cstheme="minorHAnsi"/>
          <w:sz w:val="24"/>
          <w:szCs w:val="24"/>
        </w:rPr>
        <w:t>,</w:t>
      </w:r>
      <w:r w:rsidRPr="00C97569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Pr="00C97569" w:rsidR="008B7EE7">
        <w:rPr>
          <w:rFonts w:asciiTheme="minorHAnsi" w:hAnsiTheme="minorHAnsi" w:cstheme="minorHAnsi"/>
          <w:sz w:val="24"/>
          <w:szCs w:val="24"/>
        </w:rPr>
        <w:t>o</w:t>
      </w:r>
      <w:r w:rsidR="00A0370B">
        <w:rPr>
          <w:rFonts w:asciiTheme="minorHAnsi" w:hAnsiTheme="minorHAnsi" w:cstheme="minorHAnsi"/>
          <w:sz w:val="24"/>
          <w:szCs w:val="24"/>
        </w:rPr>
        <w:t xml:space="preserve"> </w:t>
      </w:r>
      <w:r w:rsidRPr="00C97569" w:rsidR="00D510D8">
        <w:rPr>
          <w:rFonts w:asciiTheme="minorHAnsi" w:hAnsiTheme="minorHAnsi" w:cstheme="minorHAnsi"/>
          <w:sz w:val="24"/>
          <w:szCs w:val="24"/>
        </w:rPr>
        <w:t>Vereador</w:t>
      </w:r>
      <w:r w:rsidR="00A0370B">
        <w:rPr>
          <w:rFonts w:asciiTheme="minorHAnsi" w:hAnsiTheme="minorHAnsi" w:cstheme="minorHAnsi"/>
          <w:sz w:val="24"/>
          <w:szCs w:val="24"/>
        </w:rPr>
        <w:t xml:space="preserve"> Cristiano Gaioto,</w:t>
      </w:r>
      <w:r w:rsidRPr="00C97569" w:rsidR="008649A4">
        <w:rPr>
          <w:rFonts w:asciiTheme="minorHAnsi" w:hAnsiTheme="minorHAnsi" w:cstheme="minorHAnsi"/>
          <w:sz w:val="24"/>
          <w:szCs w:val="24"/>
        </w:rPr>
        <w:t xml:space="preserve"> cuja a relatoria foi atribuída ao </w:t>
      </w:r>
      <w:r w:rsidRPr="00C97569" w:rsidR="00DE256D">
        <w:rPr>
          <w:rFonts w:asciiTheme="minorHAnsi" w:hAnsiTheme="minorHAnsi" w:cstheme="minorHAnsi"/>
          <w:sz w:val="24"/>
          <w:szCs w:val="24"/>
        </w:rPr>
        <w:t>Vereador Wilians</w:t>
      </w:r>
      <w:r w:rsidRPr="00C97569" w:rsidR="008B7EE7">
        <w:rPr>
          <w:rFonts w:asciiTheme="minorHAnsi" w:hAnsiTheme="minorHAnsi" w:cstheme="minorHAnsi"/>
          <w:sz w:val="24"/>
          <w:szCs w:val="24"/>
        </w:rPr>
        <w:t xml:space="preserve"> Mendes de Oliveira</w:t>
      </w:r>
      <w:r w:rsidRPr="00C97569" w:rsidR="008649A4">
        <w:rPr>
          <w:rFonts w:asciiTheme="minorHAnsi" w:hAnsiTheme="minorHAnsi" w:cstheme="minorHAnsi"/>
          <w:sz w:val="24"/>
          <w:szCs w:val="24"/>
        </w:rPr>
        <w:t>.</w:t>
      </w:r>
    </w:p>
    <w:p w:rsidR="00F77D8F" w:rsidRPr="00C97569">
      <w:pPr>
        <w:jc w:val="both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sz w:val="24"/>
          <w:szCs w:val="24"/>
        </w:rPr>
        <w:tab/>
      </w:r>
    </w:p>
    <w:p w:rsidR="00F77D8F" w:rsidRPr="00C97569" w:rsidP="000D3816">
      <w:pPr>
        <w:jc w:val="both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A0370B" w:rsidP="009A5702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C97569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C97569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C97569" w:rsidR="00876412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="009A5702">
        <w:rPr>
          <w:rFonts w:asciiTheme="minorHAnsi" w:hAnsiTheme="minorHAnsi" w:cstheme="minorHAnsi"/>
          <w:sz w:val="24"/>
          <w:szCs w:val="24"/>
        </w:rPr>
        <w:t>Projeto de Lei nº 6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C97569" w:rsidR="0030304B">
        <w:rPr>
          <w:rFonts w:asciiTheme="minorHAnsi" w:hAnsiTheme="minorHAnsi" w:cstheme="minorHAnsi"/>
          <w:sz w:val="24"/>
          <w:szCs w:val="24"/>
        </w:rPr>
        <w:t>/</w:t>
      </w:r>
      <w:r w:rsidRPr="00C97569" w:rsidR="008D1416">
        <w:rPr>
          <w:rFonts w:asciiTheme="minorHAnsi" w:hAnsiTheme="minorHAnsi" w:cstheme="minorHAnsi"/>
          <w:sz w:val="24"/>
          <w:szCs w:val="24"/>
        </w:rPr>
        <w:t>2025, de autoria do Vereador</w:t>
      </w:r>
      <w:r w:rsidR="009A5702">
        <w:rPr>
          <w:rFonts w:asciiTheme="minorHAnsi" w:hAnsiTheme="minorHAnsi" w:cstheme="minorHAnsi"/>
          <w:sz w:val="24"/>
          <w:szCs w:val="24"/>
        </w:rPr>
        <w:t xml:space="preserve"> Cristiano </w:t>
      </w:r>
      <w:r w:rsidR="00D730CA">
        <w:rPr>
          <w:rFonts w:asciiTheme="minorHAnsi" w:hAnsiTheme="minorHAnsi" w:cstheme="minorHAnsi"/>
          <w:sz w:val="24"/>
          <w:szCs w:val="24"/>
        </w:rPr>
        <w:t xml:space="preserve">Gaioto, </w:t>
      </w:r>
      <w:r w:rsidRPr="009A5702" w:rsidR="00D730CA">
        <w:rPr>
          <w:rFonts w:asciiTheme="minorHAnsi" w:hAnsiTheme="minorHAnsi" w:cstheme="minorHAnsi"/>
          <w:sz w:val="24"/>
          <w:szCs w:val="24"/>
        </w:rPr>
        <w:t>que</w:t>
      </w:r>
      <w:r w:rsidRPr="00A0370B">
        <w:rPr>
          <w:rFonts w:asciiTheme="minorHAnsi" w:hAnsiTheme="minorHAnsi" w:cstheme="minorHAnsi"/>
          <w:b/>
          <w:sz w:val="24"/>
          <w:szCs w:val="24"/>
        </w:rPr>
        <w:t xml:space="preserve"> "proíbe, no âmbito do Município de Mogi Mirim, a veiculação de publicidade, direta ou indireta, promovida por empresas que explorem apostas esportivas ou quaisquer modalidades de jogos de azar online, e dá outras providências".</w:t>
      </w:r>
    </w:p>
    <w:p w:rsidR="00A0370B" w:rsidRPr="00A0370B" w:rsidP="00A0370B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A0370B">
        <w:rPr>
          <w:rFonts w:asciiTheme="minorHAnsi" w:hAnsiTheme="minorHAnsi" w:cstheme="minorHAnsi"/>
          <w:sz w:val="24"/>
          <w:szCs w:val="24"/>
        </w:rPr>
        <w:t>O PL justifica-se pela preocupação com os riscos sociais, econômicos e psicossociais decorrentes da crescente influência do setor de apostas online, especialmente sobre crianças, adolescentes e jovens atletas, e pela vulnerabilidade econômica dos usuários desses serviços, conforme exposto na Justificação do próprio Projeto. O Art. 4º original previa a obrigatoriedade do Poder Executivo em promover campanhas educativas.</w:t>
      </w:r>
    </w:p>
    <w:p w:rsidR="00A0370B" w:rsidRPr="00A0370B" w:rsidP="00A0370B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D730CA">
        <w:rPr>
          <w:rFonts w:asciiTheme="minorHAnsi" w:hAnsiTheme="minorHAnsi" w:cstheme="minorHAnsi"/>
          <w:b/>
          <w:sz w:val="24"/>
          <w:szCs w:val="24"/>
        </w:rPr>
        <w:t>A Comissão de Justiça e Redação</w:t>
      </w:r>
      <w:r w:rsidRPr="00A0370B">
        <w:rPr>
          <w:rFonts w:asciiTheme="minorHAnsi" w:hAnsiTheme="minorHAnsi" w:cstheme="minorHAnsi"/>
          <w:sz w:val="24"/>
          <w:szCs w:val="24"/>
        </w:rPr>
        <w:t xml:space="preserve"> exarou parecer favorável, com a ressalva apontada pela </w:t>
      </w:r>
      <w:r w:rsidRPr="00D730CA">
        <w:rPr>
          <w:rFonts w:asciiTheme="minorHAnsi" w:hAnsiTheme="minorHAnsi" w:cstheme="minorHAnsi"/>
          <w:b/>
          <w:sz w:val="24"/>
          <w:szCs w:val="24"/>
        </w:rPr>
        <w:t>Consulta Jurídica Externa (Consulta/0342/2025/MN/G/DDR)</w:t>
      </w:r>
      <w:r w:rsidRPr="00A0370B">
        <w:rPr>
          <w:rFonts w:asciiTheme="minorHAnsi" w:hAnsiTheme="minorHAnsi" w:cstheme="minorHAnsi"/>
          <w:sz w:val="24"/>
          <w:szCs w:val="24"/>
        </w:rPr>
        <w:t xml:space="preserve"> quanto à ingerência do Poder Legislativo nas atribuições do Executivo no Art. 4º. Diante dessa ressalva, foi apresentada a </w:t>
      </w:r>
      <w:r w:rsidRPr="00A0370B">
        <w:rPr>
          <w:rFonts w:asciiTheme="minorHAnsi" w:hAnsiTheme="minorHAnsi" w:cstheme="minorHAnsi"/>
          <w:b/>
          <w:bCs/>
          <w:sz w:val="24"/>
          <w:szCs w:val="24"/>
        </w:rPr>
        <w:t>Emenda Modificativa nº 1</w:t>
      </w:r>
      <w:r w:rsidRPr="00A0370B">
        <w:rPr>
          <w:rFonts w:asciiTheme="minorHAnsi" w:hAnsiTheme="minorHAnsi" w:cstheme="minorHAnsi"/>
          <w:sz w:val="24"/>
          <w:szCs w:val="24"/>
        </w:rPr>
        <w:t xml:space="preserve">, de autoria do Vereador Manoel Eduardo Pereira da Cruz Palomino, que altera o Art. 4º para uma faculdade ("O Poder Executivo </w:t>
      </w:r>
      <w:r w:rsidRPr="00A0370B">
        <w:rPr>
          <w:rFonts w:asciiTheme="minorHAnsi" w:hAnsiTheme="minorHAnsi" w:cstheme="minorHAnsi"/>
          <w:i/>
          <w:iCs/>
          <w:sz w:val="24"/>
          <w:szCs w:val="24"/>
        </w:rPr>
        <w:t>poderá</w:t>
      </w:r>
      <w:r w:rsidRPr="00A0370B">
        <w:rPr>
          <w:rFonts w:asciiTheme="minorHAnsi" w:hAnsiTheme="minorHAnsi" w:cstheme="minorHAnsi"/>
          <w:sz w:val="24"/>
          <w:szCs w:val="24"/>
        </w:rPr>
        <w:t xml:space="preserve"> promover campanhas educativas..."), respeitando a autonomia do Executivo.</w:t>
      </w:r>
    </w:p>
    <w:p w:rsidR="00A0370B" w:rsidRPr="00A0370B" w:rsidP="00A0370B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A0370B">
        <w:rPr>
          <w:rFonts w:asciiTheme="minorHAnsi" w:hAnsiTheme="minorHAnsi" w:cstheme="minorHAnsi"/>
          <w:sz w:val="24"/>
          <w:szCs w:val="24"/>
        </w:rPr>
        <w:t>A presente Comissão de Educação, Saúde, Cultura, Esporte e Assistência Social concentra-se na análise do mérito do PL, considerando seus impactos e alinhamento com as políticas públicas das áreas de sua competência.</w:t>
      </w:r>
    </w:p>
    <w:p w:rsidR="00F44C72" w:rsidRPr="00C97569" w:rsidP="002D6FEE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A5E03">
        <w:rPr>
          <w:rFonts w:asciiTheme="minorHAnsi" w:hAnsiTheme="minorHAnsi" w:cstheme="minorHAnsi"/>
          <w:sz w:val="24"/>
          <w:szCs w:val="24"/>
        </w:rPr>
        <w:t xml:space="preserve"> </w:t>
      </w:r>
      <w:r w:rsidRPr="00C97569" w:rsidR="0087641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8D1416" w:rsidRPr="00C97569" w:rsidP="008D1416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sz w:val="24"/>
          <w:szCs w:val="24"/>
        </w:rPr>
        <w:t>Em consonância com o parecer da Comissão de Justiça e Redação e a consulta jurídica</w:t>
      </w:r>
      <w:r w:rsidRPr="00C97569" w:rsidR="00BD598D">
        <w:rPr>
          <w:rFonts w:asciiTheme="minorHAnsi" w:hAnsiTheme="minorHAnsi" w:cstheme="minorHAnsi"/>
          <w:sz w:val="24"/>
          <w:szCs w:val="24"/>
        </w:rPr>
        <w:t xml:space="preserve"> externa</w:t>
      </w:r>
      <w:r w:rsidRPr="00C97569">
        <w:rPr>
          <w:rFonts w:asciiTheme="minorHAnsi" w:hAnsiTheme="minorHAnsi" w:cstheme="minorHAnsi"/>
          <w:sz w:val="24"/>
          <w:szCs w:val="24"/>
        </w:rPr>
        <w:t xml:space="preserve">, este Relator reitera a </w:t>
      </w:r>
      <w:r w:rsidRPr="00C97569">
        <w:rPr>
          <w:rFonts w:asciiTheme="minorHAnsi" w:hAnsiTheme="minorHAnsi" w:cstheme="minorHAnsi"/>
          <w:b/>
          <w:bCs/>
          <w:sz w:val="24"/>
          <w:szCs w:val="24"/>
        </w:rPr>
        <w:t>legalidade e constitucionalidade</w:t>
      </w:r>
      <w:r w:rsidR="00B47A15">
        <w:rPr>
          <w:rFonts w:asciiTheme="minorHAnsi" w:hAnsiTheme="minorHAnsi" w:cstheme="minorHAnsi"/>
          <w:sz w:val="24"/>
          <w:szCs w:val="24"/>
        </w:rPr>
        <w:t xml:space="preserve"> do Projeto de Lei nº 63</w:t>
      </w:r>
      <w:r w:rsidRPr="00C97569">
        <w:rPr>
          <w:rFonts w:asciiTheme="minorHAnsi" w:hAnsiTheme="minorHAnsi" w:cstheme="minorHAnsi"/>
          <w:sz w:val="24"/>
          <w:szCs w:val="24"/>
        </w:rPr>
        <w:t xml:space="preserve"> de 2025. A matéria se alinha aos preceitos da Constituição Federal</w:t>
      </w:r>
      <w:r w:rsidR="009A5702">
        <w:rPr>
          <w:rFonts w:asciiTheme="minorHAnsi" w:hAnsiTheme="minorHAnsi" w:cstheme="minorHAnsi"/>
          <w:sz w:val="24"/>
          <w:szCs w:val="24"/>
        </w:rPr>
        <w:t>.</w:t>
      </w:r>
    </w:p>
    <w:p w:rsidR="008D1416" w:rsidRPr="00C97569" w:rsidP="008D1416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05594A" w:rsidP="00304E22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:rsidR="0005594A" w:rsidP="00304E22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:rsidR="00D273E7" w:rsidP="00304E22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C97569">
        <w:rPr>
          <w:rFonts w:asciiTheme="minorHAnsi" w:hAnsiTheme="minorHAnsi" w:cstheme="minorHAnsi"/>
          <w:b/>
          <w:bCs/>
          <w:sz w:val="24"/>
          <w:szCs w:val="24"/>
        </w:rPr>
        <w:t>Conveniência e Oportunidade sob a Ótica da Educação, Saúde, Cultura, Esporte e Assistência Social</w:t>
      </w:r>
    </w:p>
    <w:p w:rsidR="00B47A15" w:rsidRPr="00B47A15" w:rsidP="00B47A15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47A15">
        <w:rPr>
          <w:rFonts w:asciiTheme="minorHAnsi" w:hAnsiTheme="minorHAnsi" w:cstheme="minorHAnsi"/>
          <w:sz w:val="24"/>
          <w:szCs w:val="24"/>
        </w:rPr>
        <w:t xml:space="preserve">O Projeto de Lei nº 63/2025, ao buscar restringir a publicidade de apostas esportivas e jogos de azar online, revela uma preocupação louvável com a </w:t>
      </w:r>
      <w:r w:rsidRPr="00B47A15">
        <w:rPr>
          <w:rFonts w:asciiTheme="minorHAnsi" w:hAnsiTheme="minorHAnsi" w:cstheme="minorHAnsi"/>
          <w:b/>
          <w:bCs/>
          <w:sz w:val="24"/>
          <w:szCs w:val="24"/>
        </w:rPr>
        <w:t>saúde pública, a educação, a proteção da infância e adolescência, a integridade do esporte e a assistência social</w:t>
      </w:r>
      <w:r w:rsidRPr="00B47A15">
        <w:rPr>
          <w:rFonts w:asciiTheme="minorHAnsi" w:hAnsiTheme="minorHAnsi" w:cstheme="minorHAnsi"/>
          <w:sz w:val="24"/>
          <w:szCs w:val="24"/>
        </w:rPr>
        <w:t>, temas diretamente relacionados às atribuições desta comissão.</w:t>
      </w:r>
    </w:p>
    <w:p w:rsidR="00B47A15" w:rsidRPr="00B47A15" w:rsidP="00B47A15">
      <w:pPr>
        <w:spacing w:before="100" w:beforeAutospacing="1" w:after="100" w:afterAutospacing="1"/>
        <w:outlineLvl w:val="3"/>
        <w:rPr>
          <w:rFonts w:asciiTheme="minorHAnsi" w:hAnsiTheme="minorHAnsi" w:cstheme="minorHAnsi"/>
          <w:sz w:val="24"/>
          <w:szCs w:val="24"/>
        </w:rPr>
      </w:pPr>
      <w:r w:rsidRPr="00B47A15">
        <w:rPr>
          <w:rFonts w:asciiTheme="minorHAnsi" w:hAnsiTheme="minorHAnsi" w:cstheme="minorHAnsi"/>
          <w:b/>
          <w:bCs/>
          <w:sz w:val="24"/>
          <w:szCs w:val="24"/>
        </w:rPr>
        <w:t>1. Saúde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B47A15">
        <w:rPr>
          <w:rFonts w:asciiTheme="minorHAnsi" w:hAnsiTheme="minorHAnsi" w:cstheme="minorHAnsi"/>
          <w:sz w:val="24"/>
          <w:szCs w:val="24"/>
        </w:rPr>
        <w:t xml:space="preserve"> PL aborda diretamente a questão da </w:t>
      </w:r>
      <w:r w:rsidRPr="00B47A15">
        <w:rPr>
          <w:rFonts w:asciiTheme="minorHAnsi" w:hAnsiTheme="minorHAnsi" w:cstheme="minorHAnsi"/>
          <w:b/>
          <w:bCs/>
          <w:sz w:val="24"/>
          <w:szCs w:val="24"/>
        </w:rPr>
        <w:t>saúde mental</w:t>
      </w:r>
      <w:r w:rsidRPr="00B47A15">
        <w:rPr>
          <w:rFonts w:asciiTheme="minorHAnsi" w:hAnsiTheme="minorHAnsi" w:cstheme="minorHAnsi"/>
          <w:sz w:val="24"/>
          <w:szCs w:val="24"/>
        </w:rPr>
        <w:t xml:space="preserve">, ao propor campanhas educativas sobre os riscos das apostas e jogos online, e suas consequências sociais, financeiras e de saúde mental (Art. 4º). A justificação do PL menciona a necessidade de "proteger a saúde mental da população". A </w:t>
      </w:r>
      <w:r w:rsidRPr="00B47A15">
        <w:rPr>
          <w:rFonts w:asciiTheme="minorHAnsi" w:hAnsiTheme="minorHAnsi" w:cstheme="minorHAnsi"/>
          <w:b/>
          <w:bCs/>
          <w:sz w:val="24"/>
          <w:szCs w:val="24"/>
        </w:rPr>
        <w:t>ludopatia</w:t>
      </w:r>
      <w:r w:rsidRPr="00B47A15">
        <w:rPr>
          <w:rFonts w:asciiTheme="minorHAnsi" w:hAnsiTheme="minorHAnsi" w:cstheme="minorHAnsi"/>
          <w:sz w:val="24"/>
          <w:szCs w:val="24"/>
        </w:rPr>
        <w:t>, ou vício em jogos, é reconhecida como um transtorno psiquiátrico pela Organização Mundial da Saúde (OMS), na Classificação Internacional de Doenças (CID-11), como "transtorno do jogo" (</w:t>
      </w:r>
      <w:r w:rsidRPr="00B47A15">
        <w:rPr>
          <w:rFonts w:asciiTheme="minorHAnsi" w:hAnsiTheme="minorHAnsi" w:cstheme="minorHAnsi"/>
          <w:sz w:val="24"/>
          <w:szCs w:val="24"/>
        </w:rPr>
        <w:t>Gaming</w:t>
      </w:r>
      <w:r w:rsidRPr="00B47A15">
        <w:rPr>
          <w:rFonts w:asciiTheme="minorHAnsi" w:hAnsiTheme="minorHAnsi" w:cstheme="minorHAnsi"/>
          <w:sz w:val="24"/>
          <w:szCs w:val="24"/>
        </w:rPr>
        <w:t xml:space="preserve"> </w:t>
      </w:r>
      <w:r w:rsidRPr="00B47A15">
        <w:rPr>
          <w:rFonts w:asciiTheme="minorHAnsi" w:hAnsiTheme="minorHAnsi" w:cstheme="minorHAnsi"/>
          <w:sz w:val="24"/>
          <w:szCs w:val="24"/>
        </w:rPr>
        <w:t>Disorder</w:t>
      </w:r>
      <w:r w:rsidRPr="00B47A15">
        <w:rPr>
          <w:rFonts w:asciiTheme="minorHAnsi" w:hAnsiTheme="minorHAnsi" w:cstheme="minorHAnsi"/>
          <w:sz w:val="24"/>
          <w:szCs w:val="24"/>
        </w:rPr>
        <w:t xml:space="preserve">). A exposição massiva à publicidade de apostas pode incentivar o comportamento compulsivo, levando a graves problemas de saúde mental, endividamento e desestruturação familiar. A restrição à publicidade, portanto, age como uma medida de </w:t>
      </w:r>
      <w:r w:rsidRPr="00B47A15">
        <w:rPr>
          <w:rFonts w:asciiTheme="minorHAnsi" w:hAnsiTheme="minorHAnsi" w:cstheme="minorHAnsi"/>
          <w:b/>
          <w:bCs/>
          <w:sz w:val="24"/>
          <w:szCs w:val="24"/>
        </w:rPr>
        <w:t>saúde preventiva</w:t>
      </w:r>
      <w:r w:rsidRPr="00B47A15">
        <w:rPr>
          <w:rFonts w:asciiTheme="minorHAnsi" w:hAnsiTheme="minorHAnsi" w:cstheme="minorHAnsi"/>
          <w:sz w:val="24"/>
          <w:szCs w:val="24"/>
        </w:rPr>
        <w:t>, visando diminuir a incidência de novos casos de ludopatia e proteger indivíduos vulneráveis.</w:t>
      </w:r>
    </w:p>
    <w:p w:rsidR="0005594A" w:rsidP="00B47A15">
      <w:pPr>
        <w:spacing w:before="100" w:beforeAutospacing="1" w:after="100" w:afterAutospacing="1"/>
        <w:outlineLvl w:val="3"/>
        <w:rPr>
          <w:rFonts w:asciiTheme="minorHAnsi" w:hAnsiTheme="minorHAnsi" w:cstheme="minorHAnsi"/>
          <w:sz w:val="24"/>
          <w:szCs w:val="24"/>
        </w:rPr>
      </w:pPr>
      <w:r w:rsidRPr="00B47A15">
        <w:rPr>
          <w:rFonts w:asciiTheme="minorHAnsi" w:hAnsiTheme="minorHAnsi" w:cstheme="minorHAnsi"/>
          <w:b/>
          <w:bCs/>
          <w:sz w:val="24"/>
          <w:szCs w:val="24"/>
        </w:rPr>
        <w:t>2. Educação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B47A15">
        <w:rPr>
          <w:rFonts w:asciiTheme="minorHAnsi" w:hAnsiTheme="minorHAnsi" w:cstheme="minorHAnsi"/>
          <w:sz w:val="24"/>
          <w:szCs w:val="24"/>
        </w:rPr>
        <w:t xml:space="preserve">A proposta de campanhas educativas em escolas municipais e espaços educativos (Art. 4º, § 1º, I) e a especial atenção à conscientização de crianças e adolescentes (Art. 4º, § 2º) são medidas cruciais do ponto de vista da </w:t>
      </w:r>
      <w:r w:rsidRPr="00B47A15">
        <w:rPr>
          <w:rFonts w:asciiTheme="minorHAnsi" w:hAnsiTheme="minorHAnsi" w:cstheme="minorHAnsi"/>
          <w:b/>
          <w:bCs/>
          <w:sz w:val="24"/>
          <w:szCs w:val="24"/>
        </w:rPr>
        <w:t>educação</w:t>
      </w:r>
      <w:r w:rsidRPr="00B47A15">
        <w:rPr>
          <w:rFonts w:asciiTheme="minorHAnsi" w:hAnsiTheme="minorHAnsi" w:cstheme="minorHAnsi"/>
          <w:sz w:val="24"/>
          <w:szCs w:val="24"/>
        </w:rPr>
        <w:t>. O PL reconhece que a publicidade de apostas pode influenciar indevidamente um público jovem e em formação, que ainda não possui a maturidade crítica para avaliar os riscos inerentes a essas atividades. A educação preventiva sobre os perigos da ludopatia e do endividamento precoce contribui para a formação de cidadãos mais conscientes e resilientes, alinhando-se aos princípios da educação integral e da proteção do estudante.</w:t>
      </w:r>
    </w:p>
    <w:p w:rsidR="00B47A15" w:rsidP="00B47A15">
      <w:pPr>
        <w:spacing w:before="100" w:beforeAutospacing="1" w:after="100" w:afterAutospacing="1"/>
        <w:outlineLvl w:val="3"/>
        <w:rPr>
          <w:rFonts w:asciiTheme="minorHAnsi" w:hAnsiTheme="minorHAnsi" w:cstheme="minorHAnsi"/>
          <w:sz w:val="24"/>
          <w:szCs w:val="24"/>
        </w:rPr>
      </w:pPr>
      <w:r w:rsidRPr="00B47A15">
        <w:rPr>
          <w:rFonts w:asciiTheme="minorHAnsi" w:hAnsiTheme="minorHAnsi" w:cstheme="minorHAnsi"/>
          <w:b/>
          <w:bCs/>
          <w:sz w:val="24"/>
          <w:szCs w:val="24"/>
        </w:rPr>
        <w:t xml:space="preserve">3. </w:t>
      </w:r>
      <w:r w:rsidRPr="00B47A15" w:rsidR="00E34ACE">
        <w:rPr>
          <w:rFonts w:asciiTheme="minorHAnsi" w:hAnsiTheme="minorHAnsi" w:cstheme="minorHAnsi"/>
          <w:b/>
          <w:bCs/>
          <w:sz w:val="24"/>
          <w:szCs w:val="24"/>
        </w:rPr>
        <w:t>Cultura</w:t>
      </w:r>
      <w:r w:rsidR="00E34AC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B47A15" w:rsidR="00E34ACE">
        <w:rPr>
          <w:rFonts w:asciiTheme="minorHAnsi" w:hAnsiTheme="minorHAnsi" w:cstheme="minorHAnsi"/>
          <w:sz w:val="24"/>
          <w:szCs w:val="24"/>
        </w:rPr>
        <w:t xml:space="preserve"> Embora</w:t>
      </w:r>
      <w:r w:rsidRPr="00B47A15">
        <w:rPr>
          <w:rFonts w:asciiTheme="minorHAnsi" w:hAnsiTheme="minorHAnsi" w:cstheme="minorHAnsi"/>
          <w:sz w:val="24"/>
          <w:szCs w:val="24"/>
        </w:rPr>
        <w:t xml:space="preserve"> não seja o foco central, a cultura esportiva e o fair play podem ser indiretamente impactados pela proliferação irrestrita da publicidade de apostas. A exposição constante a mensagens que associam o esporte ao ganho financeiro fácil pode desvirtuar os valores intrínsecos do esporte, como a superação, a disciplina e o trabalho em equipe, transformando-o em mero veículo para o jogo. A proteção desses valores pode ser considerada uma contribuição à </w:t>
      </w:r>
      <w:r w:rsidRPr="00B47A15">
        <w:rPr>
          <w:rFonts w:asciiTheme="minorHAnsi" w:hAnsiTheme="minorHAnsi" w:cstheme="minorHAnsi"/>
          <w:b/>
          <w:bCs/>
          <w:sz w:val="24"/>
          <w:szCs w:val="24"/>
        </w:rPr>
        <w:t>cultura esportiva saudável</w:t>
      </w:r>
      <w:r w:rsidRPr="00B47A15">
        <w:rPr>
          <w:rFonts w:asciiTheme="minorHAnsi" w:hAnsiTheme="minorHAnsi" w:cstheme="minorHAnsi"/>
          <w:sz w:val="24"/>
          <w:szCs w:val="24"/>
        </w:rPr>
        <w:t>.</w:t>
      </w:r>
    </w:p>
    <w:p w:rsidR="008C20A9" w:rsidP="00B47A15">
      <w:pPr>
        <w:spacing w:before="100" w:beforeAutospacing="1" w:after="100" w:afterAutospacing="1"/>
        <w:outlineLvl w:val="3"/>
        <w:rPr>
          <w:rFonts w:asciiTheme="minorHAnsi" w:hAnsiTheme="minorHAnsi" w:cstheme="minorHAnsi"/>
          <w:sz w:val="24"/>
          <w:szCs w:val="24"/>
        </w:rPr>
      </w:pPr>
    </w:p>
    <w:p w:rsidR="008C20A9" w:rsidP="00B47A15">
      <w:pPr>
        <w:spacing w:before="100" w:beforeAutospacing="1" w:after="100" w:afterAutospacing="1"/>
        <w:outlineLvl w:val="3"/>
        <w:rPr>
          <w:rFonts w:asciiTheme="minorHAnsi" w:hAnsiTheme="minorHAnsi" w:cstheme="minorHAnsi"/>
          <w:sz w:val="24"/>
          <w:szCs w:val="24"/>
        </w:rPr>
      </w:pPr>
    </w:p>
    <w:p w:rsidR="008C20A9" w:rsidP="00B47A15">
      <w:pPr>
        <w:spacing w:before="100" w:beforeAutospacing="1" w:after="100" w:afterAutospacing="1"/>
        <w:outlineLvl w:val="3"/>
        <w:rPr>
          <w:rFonts w:asciiTheme="minorHAnsi" w:hAnsiTheme="minorHAnsi" w:cstheme="minorHAnsi"/>
          <w:sz w:val="24"/>
          <w:szCs w:val="24"/>
        </w:rPr>
      </w:pPr>
    </w:p>
    <w:p w:rsidR="008C20A9" w:rsidRPr="00B47A15" w:rsidP="00B47A15">
      <w:pPr>
        <w:spacing w:before="100" w:beforeAutospacing="1" w:after="100" w:afterAutospacing="1"/>
        <w:outlineLvl w:val="3"/>
        <w:rPr>
          <w:rFonts w:asciiTheme="minorHAnsi" w:hAnsiTheme="minorHAnsi" w:cstheme="minorHAnsi"/>
          <w:sz w:val="24"/>
          <w:szCs w:val="24"/>
        </w:rPr>
      </w:pPr>
    </w:p>
    <w:p w:rsidR="008C20A9" w:rsidP="00B47A15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</w:p>
    <w:p w:rsidR="00B47A15" w:rsidP="00B47A15">
      <w:pPr>
        <w:spacing w:before="100" w:beforeAutospacing="1" w:after="100" w:afterAutospacing="1"/>
        <w:outlineLvl w:val="3"/>
        <w:rPr>
          <w:rFonts w:asciiTheme="minorHAnsi" w:hAnsiTheme="minorHAnsi" w:cstheme="minorHAnsi"/>
          <w:sz w:val="24"/>
          <w:szCs w:val="24"/>
        </w:rPr>
      </w:pPr>
      <w:r w:rsidRPr="00B47A15">
        <w:rPr>
          <w:rFonts w:asciiTheme="minorHAnsi" w:hAnsiTheme="minorHAnsi" w:cstheme="minorHAnsi"/>
          <w:b/>
          <w:bCs/>
          <w:sz w:val="24"/>
          <w:szCs w:val="24"/>
        </w:rPr>
        <w:t xml:space="preserve">4. </w:t>
      </w:r>
      <w:r w:rsidRPr="00B47A15" w:rsidR="00E34ACE">
        <w:rPr>
          <w:rFonts w:asciiTheme="minorHAnsi" w:hAnsiTheme="minorHAnsi" w:cstheme="minorHAnsi"/>
          <w:b/>
          <w:bCs/>
          <w:sz w:val="24"/>
          <w:szCs w:val="24"/>
        </w:rPr>
        <w:t>Esporte</w:t>
      </w:r>
      <w:r w:rsidR="00E34AC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B47A15" w:rsidR="00E34ACE">
        <w:rPr>
          <w:rFonts w:asciiTheme="minorHAnsi" w:hAnsiTheme="minorHAnsi" w:cstheme="minorHAnsi"/>
          <w:sz w:val="24"/>
          <w:szCs w:val="24"/>
        </w:rPr>
        <w:t xml:space="preserve"> A</w:t>
      </w:r>
      <w:r w:rsidRPr="00B47A15">
        <w:rPr>
          <w:rFonts w:asciiTheme="minorHAnsi" w:hAnsiTheme="minorHAnsi" w:cstheme="minorHAnsi"/>
          <w:sz w:val="24"/>
          <w:szCs w:val="24"/>
        </w:rPr>
        <w:t xml:space="preserve"> justificação do PL é clara ao mencionar os "relevantes riscos sociais, econômicos e psicossociais decorrentes da crescente influência desse setor na esfera esportiva". A proibição de publicidade em eventos, arenas, ginásios e estádios (Art. 1º, I e Art. 3º, I) visa </w:t>
      </w:r>
      <w:r w:rsidRPr="00B47A15">
        <w:rPr>
          <w:rFonts w:asciiTheme="minorHAnsi" w:hAnsiTheme="minorHAnsi" w:cstheme="minorHAnsi"/>
          <w:b/>
          <w:bCs/>
          <w:sz w:val="24"/>
          <w:szCs w:val="24"/>
        </w:rPr>
        <w:t>resguardar a integridade das competições esportivas</w:t>
      </w:r>
      <w:r w:rsidRPr="00B47A15">
        <w:rPr>
          <w:rFonts w:asciiTheme="minorHAnsi" w:hAnsiTheme="minorHAnsi" w:cstheme="minorHAnsi"/>
          <w:sz w:val="24"/>
          <w:szCs w:val="24"/>
        </w:rPr>
        <w:t xml:space="preserve"> e proteger os jovens </w:t>
      </w:r>
      <w:r w:rsidRPr="00B47A15">
        <w:rPr>
          <w:rFonts w:asciiTheme="minorHAnsi" w:hAnsiTheme="minorHAnsi" w:cstheme="minorHAnsi"/>
          <w:sz w:val="24"/>
          <w:szCs w:val="24"/>
        </w:rPr>
        <w:t>atletas.O</w:t>
      </w:r>
      <w:r w:rsidRPr="00B47A15">
        <w:rPr>
          <w:rFonts w:asciiTheme="minorHAnsi" w:hAnsiTheme="minorHAnsi" w:cstheme="minorHAnsi"/>
          <w:sz w:val="24"/>
          <w:szCs w:val="24"/>
        </w:rPr>
        <w:t xml:space="preserve"> esporte, enquanto instrumento de inclusão social, educação e cidadania, conforme citado na Justificação, não deve ser atrelado de forma irrestrita a atividades de risco. A destinação do valor arrecadado com as multas para a </w:t>
      </w:r>
      <w:r w:rsidRPr="00B47A15">
        <w:rPr>
          <w:rFonts w:asciiTheme="minorHAnsi" w:hAnsiTheme="minorHAnsi" w:cstheme="minorHAnsi"/>
          <w:b/>
          <w:bCs/>
          <w:sz w:val="24"/>
          <w:szCs w:val="24"/>
        </w:rPr>
        <w:t>promoção do esporte educativo</w:t>
      </w:r>
      <w:r w:rsidRPr="00B47A15">
        <w:rPr>
          <w:rFonts w:asciiTheme="minorHAnsi" w:hAnsiTheme="minorHAnsi" w:cstheme="minorHAnsi"/>
          <w:sz w:val="24"/>
          <w:szCs w:val="24"/>
        </w:rPr>
        <w:t xml:space="preserve"> (Art. 5º, Parágrafo único) é um ponto extremamente positivo, reforçando o caráter social e pedagógico do esporte.</w:t>
      </w:r>
    </w:p>
    <w:p w:rsidR="00B47A15" w:rsidRPr="00B47A15" w:rsidP="00B47A15">
      <w:pPr>
        <w:spacing w:before="100" w:beforeAutospacing="1" w:after="100" w:afterAutospacing="1"/>
        <w:outlineLvl w:val="3"/>
        <w:rPr>
          <w:rFonts w:asciiTheme="minorHAnsi" w:hAnsiTheme="minorHAnsi" w:cstheme="minorHAnsi"/>
          <w:sz w:val="24"/>
          <w:szCs w:val="24"/>
        </w:rPr>
      </w:pPr>
      <w:r w:rsidRPr="00B47A15">
        <w:rPr>
          <w:rFonts w:asciiTheme="minorHAnsi" w:hAnsiTheme="minorHAnsi" w:cstheme="minorHAnsi"/>
          <w:b/>
          <w:bCs/>
          <w:sz w:val="24"/>
          <w:szCs w:val="24"/>
        </w:rPr>
        <w:t xml:space="preserve">5. Assistência </w:t>
      </w:r>
      <w:r w:rsidRPr="00B47A15" w:rsidR="00E34ACE">
        <w:rPr>
          <w:rFonts w:asciiTheme="minorHAnsi" w:hAnsiTheme="minorHAnsi" w:cstheme="minorHAnsi"/>
          <w:b/>
          <w:bCs/>
          <w:sz w:val="24"/>
          <w:szCs w:val="24"/>
        </w:rPr>
        <w:t>Social</w:t>
      </w:r>
      <w:r w:rsidR="00E34AC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B47A15" w:rsidR="00E34ACE">
        <w:rPr>
          <w:rFonts w:asciiTheme="minorHAnsi" w:hAnsiTheme="minorHAnsi" w:cstheme="minorHAnsi"/>
          <w:sz w:val="24"/>
          <w:szCs w:val="24"/>
        </w:rPr>
        <w:t xml:space="preserve"> A</w:t>
      </w:r>
      <w:r w:rsidRPr="00B47A15">
        <w:rPr>
          <w:rFonts w:asciiTheme="minorHAnsi" w:hAnsiTheme="minorHAnsi" w:cstheme="minorHAnsi"/>
          <w:sz w:val="24"/>
          <w:szCs w:val="24"/>
        </w:rPr>
        <w:t xml:space="preserve"> justificação do PL destaca que a maioria dos apostadores em plataformas online pertence a famílias com renda mensal de até três salários mínimos, evidenciando a </w:t>
      </w:r>
      <w:r w:rsidRPr="00B47A15">
        <w:rPr>
          <w:rFonts w:asciiTheme="minorHAnsi" w:hAnsiTheme="minorHAnsi" w:cstheme="minorHAnsi"/>
          <w:b/>
          <w:bCs/>
          <w:sz w:val="24"/>
          <w:szCs w:val="24"/>
        </w:rPr>
        <w:t>vulnerabilidade econômica</w:t>
      </w:r>
      <w:r w:rsidRPr="00B47A15">
        <w:rPr>
          <w:rFonts w:asciiTheme="minorHAnsi" w:hAnsiTheme="minorHAnsi" w:cstheme="minorHAnsi"/>
          <w:sz w:val="24"/>
          <w:szCs w:val="24"/>
        </w:rPr>
        <w:t xml:space="preserve"> dos principais usuários. O endividamento e a desestruturação familiar decorrentes do vício em jogos são fatores que demandam atenção da </w:t>
      </w:r>
      <w:r w:rsidRPr="00B47A15">
        <w:rPr>
          <w:rFonts w:asciiTheme="minorHAnsi" w:hAnsiTheme="minorHAnsi" w:cstheme="minorHAnsi"/>
          <w:b/>
          <w:bCs/>
          <w:sz w:val="24"/>
          <w:szCs w:val="24"/>
        </w:rPr>
        <w:t>assistência social</w:t>
      </w:r>
      <w:r w:rsidRPr="00B47A15">
        <w:rPr>
          <w:rFonts w:asciiTheme="minorHAnsi" w:hAnsiTheme="minorHAnsi" w:cstheme="minorHAnsi"/>
          <w:sz w:val="24"/>
          <w:szCs w:val="24"/>
        </w:rPr>
        <w:t xml:space="preserve">. Ao mitigar a exposição à publicidade de apostas, o PL atua indiretamente na </w:t>
      </w:r>
      <w:r w:rsidRPr="00B47A15">
        <w:rPr>
          <w:rFonts w:asciiTheme="minorHAnsi" w:hAnsiTheme="minorHAnsi" w:cstheme="minorHAnsi"/>
          <w:b/>
          <w:bCs/>
          <w:sz w:val="24"/>
          <w:szCs w:val="24"/>
        </w:rPr>
        <w:t>prevenção de situações de vulnerabilidade social</w:t>
      </w:r>
      <w:r w:rsidRPr="00B47A15">
        <w:rPr>
          <w:rFonts w:asciiTheme="minorHAnsi" w:hAnsiTheme="minorHAnsi" w:cstheme="minorHAnsi"/>
          <w:sz w:val="24"/>
          <w:szCs w:val="24"/>
        </w:rPr>
        <w:t>, contribuindo para a redução da demanda por serviços assistenciais e para a proteção de famílias em risco. A destinação de recursos para prevenção à ludopatia (Art. 5º, Parágrafo único) também é uma medida que se alinha com os objetivos da assistência social.</w:t>
      </w:r>
    </w:p>
    <w:p w:rsidR="00F77D8F" w:rsidRPr="00C97569" w:rsidP="00A10C9C">
      <w:pPr>
        <w:pStyle w:val="BodyText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C97569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520E42" w:rsidRPr="0013259D" w:rsidP="00520E42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color w:val="000000"/>
          <w:sz w:val="24"/>
          <w:szCs w:val="24"/>
        </w:rPr>
        <w:t>Nesta análise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>, é importante ressaltar que esta relatoria, embasada em criteriosa avaliação, não identificou a necessidade de propor emendas ou su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bemendas ao Projeto em análise, haja vista que as modificações necessárias já foram realizadas com a </w:t>
      </w:r>
      <w:r w:rsidRPr="00520E42">
        <w:rPr>
          <w:rFonts w:eastAsia="Arial" w:asciiTheme="minorHAnsi" w:hAnsiTheme="minorHAnsi" w:cstheme="minorHAnsi"/>
          <w:b/>
          <w:color w:val="000000"/>
          <w:sz w:val="24"/>
          <w:szCs w:val="24"/>
        </w:rPr>
        <w:t>emenda nº 1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,</w:t>
      </w:r>
      <w:r w:rsidRPr="00AB54DE">
        <w:rPr>
          <w:rFonts w:asciiTheme="minorHAnsi" w:hAnsiTheme="minorHAnsi" w:cstheme="minorHAnsi"/>
          <w:sz w:val="24"/>
          <w:szCs w:val="24"/>
        </w:rPr>
        <w:t xml:space="preserve"> </w:t>
      </w:r>
      <w:r w:rsidRPr="0013259D">
        <w:rPr>
          <w:rFonts w:asciiTheme="minorHAnsi" w:hAnsiTheme="minorHAnsi" w:cstheme="minorHAnsi"/>
          <w:sz w:val="24"/>
          <w:szCs w:val="24"/>
        </w:rPr>
        <w:t>em resposta aos apontamentos da consultoria jurídica externa.</w:t>
      </w:r>
    </w:p>
    <w:p w:rsidR="008C20A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C20A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C20A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C20A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C20A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C20A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C20A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C20A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C20A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C20A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C20A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B3B0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05594A" w:rsidP="0005594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5594A">
        <w:rPr>
          <w:rFonts w:asciiTheme="minorHAnsi" w:hAnsiTheme="minorHAnsi" w:cstheme="minorHAnsi"/>
          <w:sz w:val="24"/>
          <w:szCs w:val="24"/>
        </w:rPr>
        <w:t xml:space="preserve">Diante do exposto, este relator da Comissão de Educação, Saúde, Cultura, Esporte e Assistência Social entende que o Projeto de Lei nº 63/2025, com a incorporação da Emenda Modificativa nº 1, apresenta </w:t>
      </w:r>
      <w:r w:rsidRPr="0005594A">
        <w:rPr>
          <w:rFonts w:asciiTheme="minorHAnsi" w:hAnsiTheme="minorHAnsi" w:cstheme="minorHAnsi"/>
          <w:b/>
          <w:bCs/>
          <w:sz w:val="24"/>
          <w:szCs w:val="24"/>
        </w:rPr>
        <w:t>extrema relevância e oportunidade social</w:t>
      </w:r>
      <w:r w:rsidRPr="0005594A">
        <w:rPr>
          <w:rFonts w:asciiTheme="minorHAnsi" w:hAnsiTheme="minorHAnsi" w:cstheme="minorHAnsi"/>
          <w:sz w:val="24"/>
          <w:szCs w:val="24"/>
        </w:rPr>
        <w:t xml:space="preserve"> para o Município de Mogi Mirim.</w:t>
      </w:r>
    </w:p>
    <w:p w:rsidR="0005594A" w:rsidRPr="0005594A" w:rsidP="0005594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5594A">
        <w:rPr>
          <w:rFonts w:asciiTheme="minorHAnsi" w:hAnsiTheme="minorHAnsi" w:cstheme="minorHAnsi"/>
          <w:sz w:val="24"/>
          <w:szCs w:val="24"/>
        </w:rPr>
        <w:t xml:space="preserve">O PL, ao restringir a publicidade de apostas e jogos de azar online em espaços públicos e locais de eventos, e ao prever campanhas de conscientização, demonstra um compromisso efetivo com a </w:t>
      </w:r>
      <w:r w:rsidRPr="0005594A">
        <w:rPr>
          <w:rFonts w:asciiTheme="minorHAnsi" w:hAnsiTheme="minorHAnsi" w:cstheme="minorHAnsi"/>
          <w:b/>
          <w:bCs/>
          <w:sz w:val="24"/>
          <w:szCs w:val="24"/>
        </w:rPr>
        <w:t>proteção da saúde mental</w:t>
      </w:r>
      <w:r w:rsidRPr="0005594A">
        <w:rPr>
          <w:rFonts w:asciiTheme="minorHAnsi" w:hAnsiTheme="minorHAnsi" w:cstheme="minorHAnsi"/>
          <w:sz w:val="24"/>
          <w:szCs w:val="24"/>
        </w:rPr>
        <w:t xml:space="preserve">, a </w:t>
      </w:r>
      <w:r w:rsidRPr="0005594A">
        <w:rPr>
          <w:rFonts w:asciiTheme="minorHAnsi" w:hAnsiTheme="minorHAnsi" w:cstheme="minorHAnsi"/>
          <w:b/>
          <w:bCs/>
          <w:sz w:val="24"/>
          <w:szCs w:val="24"/>
        </w:rPr>
        <w:t>prevenção da ludopatia</w:t>
      </w:r>
      <w:r w:rsidRPr="0005594A">
        <w:rPr>
          <w:rFonts w:asciiTheme="minorHAnsi" w:hAnsiTheme="minorHAnsi" w:cstheme="minorHAnsi"/>
          <w:sz w:val="24"/>
          <w:szCs w:val="24"/>
        </w:rPr>
        <w:t xml:space="preserve">, a </w:t>
      </w:r>
      <w:r w:rsidRPr="0005594A">
        <w:rPr>
          <w:rFonts w:asciiTheme="minorHAnsi" w:hAnsiTheme="minorHAnsi" w:cstheme="minorHAnsi"/>
          <w:b/>
          <w:bCs/>
          <w:sz w:val="24"/>
          <w:szCs w:val="24"/>
        </w:rPr>
        <w:t>educação de crianças e adolescentes</w:t>
      </w:r>
      <w:r w:rsidRPr="0005594A">
        <w:rPr>
          <w:rFonts w:asciiTheme="minorHAnsi" w:hAnsiTheme="minorHAnsi" w:cstheme="minorHAnsi"/>
          <w:sz w:val="24"/>
          <w:szCs w:val="24"/>
        </w:rPr>
        <w:t xml:space="preserve">, a </w:t>
      </w:r>
      <w:r w:rsidRPr="0005594A">
        <w:rPr>
          <w:rFonts w:asciiTheme="minorHAnsi" w:hAnsiTheme="minorHAnsi" w:cstheme="minorHAnsi"/>
          <w:b/>
          <w:bCs/>
          <w:sz w:val="24"/>
          <w:szCs w:val="24"/>
        </w:rPr>
        <w:t>integridade do esporte</w:t>
      </w:r>
      <w:r w:rsidRPr="0005594A">
        <w:rPr>
          <w:rFonts w:asciiTheme="minorHAnsi" w:hAnsiTheme="minorHAnsi" w:cstheme="minorHAnsi"/>
          <w:sz w:val="24"/>
          <w:szCs w:val="24"/>
        </w:rPr>
        <w:t xml:space="preserve"> e a </w:t>
      </w:r>
      <w:r w:rsidRPr="0005594A">
        <w:rPr>
          <w:rFonts w:asciiTheme="minorHAnsi" w:hAnsiTheme="minorHAnsi" w:cstheme="minorHAnsi"/>
          <w:b/>
          <w:bCs/>
          <w:sz w:val="24"/>
          <w:szCs w:val="24"/>
        </w:rPr>
        <w:t>promoção da assistência social</w:t>
      </w:r>
      <w:r w:rsidRPr="0005594A">
        <w:rPr>
          <w:rFonts w:asciiTheme="minorHAnsi" w:hAnsiTheme="minorHAnsi" w:cstheme="minorHAnsi"/>
          <w:sz w:val="24"/>
          <w:szCs w:val="24"/>
        </w:rPr>
        <w:t xml:space="preserve"> a grupos vulneráveis.</w:t>
      </w:r>
    </w:p>
    <w:p w:rsidR="00321589" w:rsidRPr="00C97569" w:rsidP="0005594A">
      <w:pPr>
        <w:spacing w:before="100" w:beforeAutospacing="1" w:after="100" w:afterAutospacing="1"/>
        <w:rPr>
          <w:rFonts w:asciiTheme="minorHAnsi" w:hAnsiTheme="minorHAnsi" w:cstheme="minorHAnsi"/>
          <w:b/>
          <w:iCs/>
          <w:sz w:val="24"/>
          <w:szCs w:val="24"/>
        </w:rPr>
      </w:pPr>
      <w:r w:rsidRPr="0005594A">
        <w:rPr>
          <w:rFonts w:asciiTheme="minorHAnsi" w:hAnsiTheme="minorHAnsi" w:cstheme="minorHAnsi"/>
          <w:sz w:val="24"/>
          <w:szCs w:val="24"/>
        </w:rPr>
        <w:t>A propositura se alinha com o dever do Poder Público de proteger a dignidade da pessoa humana, a criança e ao adolescente, e promover o bem-estar coletivo, sem incorrer em vícios de inconstitucionalidade após a emenda proposta. A destinação dos valores das multas para prevenção à ludopatia e promoção do esporte educativo fortalece ainda mais o caráter social do projeto.</w:t>
      </w:r>
    </w:p>
    <w:p w:rsidR="001A7AAC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1B44">
        <w:rPr>
          <w:rFonts w:asciiTheme="minorHAnsi" w:hAnsiTheme="minorHAnsi" w:cstheme="minorHAnsi"/>
          <w:b/>
          <w:sz w:val="24"/>
          <w:szCs w:val="24"/>
        </w:rPr>
        <w:t>SALA DAS SESSÕES</w:t>
      </w:r>
      <w:r>
        <w:rPr>
          <w:rFonts w:asciiTheme="minorHAnsi" w:hAnsiTheme="minorHAnsi" w:cstheme="minorHAnsi"/>
          <w:b/>
          <w:sz w:val="24"/>
          <w:szCs w:val="24"/>
        </w:rPr>
        <w:t xml:space="preserve"> “VEREADOR SANTO RÓTTOLI”, em 24</w:t>
      </w:r>
      <w:r w:rsidRPr="002A1B44">
        <w:rPr>
          <w:rFonts w:asciiTheme="minorHAnsi" w:hAnsiTheme="minorHAnsi" w:cstheme="minorHAnsi"/>
          <w:b/>
          <w:sz w:val="24"/>
          <w:szCs w:val="24"/>
        </w:rPr>
        <w:t xml:space="preserve"> de julho de 2025.</w:t>
      </w:r>
    </w:p>
    <w:p w:rsidR="00C9756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8C20A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C97569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97569">
        <w:rPr>
          <w:rFonts w:asciiTheme="minorHAnsi" w:hAnsiTheme="minorHAnsi" w:cstheme="minorHAnsi"/>
          <w:i/>
          <w:sz w:val="22"/>
          <w:szCs w:val="22"/>
        </w:rPr>
        <w:t>(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 w:rsidRPr="00C97569">
        <w:rPr>
          <w:rFonts w:asciiTheme="minorHAnsi" w:hAnsiTheme="minorHAnsi" w:cstheme="minorHAnsi"/>
          <w:i/>
          <w:sz w:val="22"/>
          <w:szCs w:val="22"/>
        </w:rPr>
        <w:t>ssinado</w:t>
      </w:r>
      <w:r w:rsidRPr="00C97569">
        <w:rPr>
          <w:rFonts w:asciiTheme="minorHAnsi" w:hAnsiTheme="minorHAnsi" w:cstheme="minorHAnsi"/>
          <w:i/>
          <w:sz w:val="22"/>
          <w:szCs w:val="22"/>
        </w:rPr>
        <w:t xml:space="preserve"> digitalmente)</w:t>
      </w:r>
    </w:p>
    <w:p w:rsidR="001A7AAC" w:rsidRPr="004F6522" w:rsidP="001A7AAC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 w:rsidR="00D510D8"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1A7AAC" w:rsidRPr="004F6522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>
        <w:rPr>
          <w:rFonts w:eastAsia="Arial" w:asciiTheme="minorHAnsi" w:hAnsiTheme="minorHAnsi" w:cstheme="minorHAnsi"/>
          <w:i/>
          <w:iCs/>
          <w:sz w:val="28"/>
          <w:szCs w:val="28"/>
        </w:rPr>
        <w:t>Relator</w:t>
      </w:r>
    </w:p>
    <w:p w:rsidR="00A2285C" w:rsidP="00A2285C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GoBack"/>
      <w:bookmarkEnd w:id="0"/>
      <w:r w:rsidRPr="00C97569">
        <w:rPr>
          <w:rFonts w:asciiTheme="minorHAnsi" w:hAnsiTheme="minorHAnsi" w:cstheme="minorHAnsi"/>
          <w:b/>
          <w:bCs/>
          <w:sz w:val="18"/>
          <w:szCs w:val="18"/>
        </w:rPr>
        <w:t>Fontes de pesquisa consultadas:</w:t>
      </w:r>
    </w:p>
    <w:p w:rsidR="00747ADE" w:rsidP="00A2285C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18"/>
          <w:szCs w:val="18"/>
        </w:rPr>
      </w:pPr>
    </w:p>
    <w:p w:rsidR="00747ADE" w:rsidP="00747ADE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Constituição da República Federativa do Brasil de 1988.</w:t>
      </w:r>
      <w:r>
        <w:rPr>
          <w:rFonts w:cstheme="minorHAnsi"/>
          <w:sz w:val="18"/>
          <w:szCs w:val="18"/>
        </w:rPr>
        <w:t xml:space="preserve"> Disponível em: [Link para o site do Planalto, se houver]. Acesso em: [Data do Acesso].</w:t>
      </w:r>
    </w:p>
    <w:p w:rsidR="00747ADE" w:rsidP="00747ADE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Lei nº 14.790, de 29 de dezembro de 2023.</w:t>
      </w:r>
      <w:r>
        <w:rPr>
          <w:rFonts w:cstheme="minorHAnsi"/>
          <w:sz w:val="18"/>
          <w:szCs w:val="18"/>
        </w:rPr>
        <w:t xml:space="preserve"> Dispõe sobre a modalidade lotérica denominada apostas de quota fixa. Disponível em: [Link para o site do Planalto, se houver]. Acesso em: [Data do Acesso].</w:t>
      </w:r>
    </w:p>
    <w:p w:rsidR="00747ADE" w:rsidP="00747ADE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Organização Mundial da Saúde (OMS).</w:t>
      </w:r>
      <w:r>
        <w:rPr>
          <w:rFonts w:cstheme="minorHAnsi"/>
          <w:sz w:val="18"/>
          <w:szCs w:val="18"/>
        </w:rPr>
        <w:t xml:space="preserve"> Classificação Estatística Internacional de Doenças e Problemas Relacionados à Saúde – CID-11. Disponível em: [Link para o site da OMS ou Ministério da Saúde]. Acesso em: [Data do Acesso].</w:t>
      </w:r>
    </w:p>
    <w:p w:rsidR="00747ADE" w:rsidP="00747ADE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Consulta/0342/2025/MN/G/DDR.</w:t>
      </w:r>
      <w:r>
        <w:rPr>
          <w:rFonts w:cstheme="minorHAnsi"/>
          <w:sz w:val="18"/>
          <w:szCs w:val="18"/>
        </w:rPr>
        <w:t xml:space="preserve"> SGP Soluções em Gestão Pública, datado de 18 de junho de 2025. (Documentos Diversos 1_2025 ao Projeto de Lei 63_2025 - PARECER SGP - PL 63.2025.pdf).</w:t>
      </w:r>
    </w:p>
    <w:p w:rsidR="00747ADE" w:rsidP="00747ADE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Projeto de Lei nº 63/2025.</w:t>
      </w:r>
      <w:r>
        <w:rPr>
          <w:rFonts w:cstheme="minorHAnsi"/>
          <w:sz w:val="18"/>
          <w:szCs w:val="18"/>
        </w:rPr>
        <w:t xml:space="preserve"> Câmara Municipal de Mogi Mirim.</w:t>
      </w:r>
    </w:p>
    <w:p w:rsidR="00747ADE" w:rsidP="00747ADE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Emenda Modificativa nº 1 ao Projeto de Lei nº 63/2025.</w:t>
      </w:r>
      <w:r>
        <w:rPr>
          <w:rFonts w:cstheme="minorHAnsi"/>
          <w:sz w:val="18"/>
          <w:szCs w:val="18"/>
        </w:rPr>
        <w:t xml:space="preserve"> Câmara Municipal de Mogi Mirim.</w:t>
      </w:r>
    </w:p>
    <w:p w:rsidR="00747ADE" w:rsidP="00747ADE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Supremo Tribunal Federal (STF).</w:t>
      </w:r>
      <w:r>
        <w:rPr>
          <w:rFonts w:cstheme="minorHAnsi"/>
          <w:sz w:val="18"/>
          <w:szCs w:val="18"/>
        </w:rPr>
        <w:t xml:space="preserve"> Tema nº 917 - Repercussão Geral (ARE n° 878.911/RG).</w:t>
      </w:r>
    </w:p>
    <w:p w:rsidR="00747ADE" w:rsidP="00747ADE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Lei Orgânica do Município de Mogi Mirim (LOM).</w:t>
      </w:r>
      <w:r>
        <w:rPr>
          <w:rFonts w:cstheme="minorHAnsi"/>
          <w:sz w:val="18"/>
          <w:szCs w:val="18"/>
        </w:rPr>
        <w:t xml:space="preserve"> (Se disponível publicamente, incluir o link ou a referência específica da versão em uso).</w:t>
      </w:r>
    </w:p>
    <w:p w:rsidR="00747ADE" w:rsidRPr="00C97569" w:rsidP="00A2285C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18"/>
          <w:szCs w:val="18"/>
        </w:rPr>
      </w:pPr>
    </w:p>
    <w:p w:rsidR="00DF6E2F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321589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321589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F77D8F" w:rsidRPr="004F6522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PARECER DA COMISSÃO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DE EDUCAÇÃO, SAÚDE, CULTURA, ESPORTE E ASSISTÊNCIA SOCIAL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</w:t>
      </w:r>
      <w:r w:rsidR="004C02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LEI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Nº </w:t>
      </w:r>
      <w:r w:rsidR="00EF43D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63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A2285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D</w:t>
      </w:r>
      <w:r w:rsidR="002A1B4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</w:t>
      </w:r>
      <w:r w:rsidR="002051F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 w:rsidR="00C613C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CRISTIANO GAIOT</w:t>
      </w:r>
      <w:r w:rsidR="00EF43D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F77D8F" w:rsidRPr="004F6522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510D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:rsidR="004C0216" w:rsidRPr="00C9756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Diante do exposto, esta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C</w:t>
      </w:r>
      <w:r w:rsidRPr="00C97569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omissão de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Educação, Saúde, Cultura, Esporte e Assistência </w:t>
      </w:r>
      <w:r w:rsidRPr="00C97569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Social, manifesta-se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favoravelmente </w:t>
      </w:r>
      <w:r w:rsidRPr="00C97569">
        <w:rPr>
          <w:rFonts w:asciiTheme="minorHAnsi" w:hAnsiTheme="minorHAnsi" w:cstheme="minorHAnsi"/>
          <w:sz w:val="24"/>
          <w:szCs w:val="24"/>
        </w:rPr>
        <w:t>a</w:t>
      </w:r>
      <w:r w:rsidR="00EF43D4">
        <w:rPr>
          <w:rFonts w:asciiTheme="minorHAnsi" w:hAnsiTheme="minorHAnsi" w:cstheme="minorHAnsi"/>
          <w:sz w:val="24"/>
          <w:szCs w:val="24"/>
        </w:rPr>
        <w:t>o projeto de lei</w:t>
      </w:r>
      <w:r w:rsidRPr="00C97569" w:rsidR="00C9756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A5702" w:rsidR="00EF43D4">
        <w:rPr>
          <w:rFonts w:asciiTheme="minorHAnsi" w:hAnsiTheme="minorHAnsi" w:cstheme="minorHAnsi"/>
          <w:sz w:val="24"/>
          <w:szCs w:val="24"/>
        </w:rPr>
        <w:t>que</w:t>
      </w:r>
      <w:r w:rsidRPr="00A0370B" w:rsidR="00EF43D4">
        <w:rPr>
          <w:rFonts w:asciiTheme="minorHAnsi" w:hAnsiTheme="minorHAnsi" w:cstheme="minorHAnsi"/>
          <w:b/>
          <w:sz w:val="24"/>
          <w:szCs w:val="24"/>
        </w:rPr>
        <w:t xml:space="preserve"> "proíbe, no âmbito do Município de Mogi Mirim, a veiculação de publicidade, direta ou indireta, promovida por empresas que explorem apostas esportivas ou quaisquer modalidades de jogos de azar online</w:t>
      </w:r>
      <w:r w:rsidR="00EF43D4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97569">
        <w:rPr>
          <w:rFonts w:asciiTheme="minorHAnsi" w:hAnsiTheme="minorHAnsi" w:cstheme="minorHAnsi"/>
          <w:sz w:val="24"/>
          <w:szCs w:val="24"/>
        </w:rPr>
        <w:t>no Município de Mogi Mirim.</w:t>
      </w:r>
    </w:p>
    <w:p w:rsidR="00F77D8F" w:rsidRPr="00C9756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Em </w:t>
      </w:r>
      <w:r w:rsidRPr="00C97569" w:rsidR="0087641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consonância com o voto proferido pelo eminente Relator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e em cu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mprimento ao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artigo 39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Vigente, todos os membros da C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omissão de Educação, Saúde, Cultura, Esporte e Assistência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Social foram favoráveis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parecer no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projeto de </w:t>
      </w:r>
      <w:r w:rsidRPr="00C97569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C97569" w:rsidR="0087641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C97569" w:rsidRPr="00C9756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:rsidR="00F77D8F" w:rsidRPr="00C97569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C97569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Portanto, esta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Comissão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Parecer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C97569" w:rsidR="00DF6E2F">
        <w:rPr>
          <w:rFonts w:asciiTheme="minorHAnsi" w:hAnsiTheme="minorHAnsi" w:cstheme="minorHAnsi"/>
          <w:b/>
          <w:iCs/>
          <w:color w:val="000000"/>
          <w:sz w:val="24"/>
          <w:szCs w:val="24"/>
        </w:rPr>
        <w:t>FAVORÁVEL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, ao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</w:t>
      </w:r>
      <w:r w:rsidRPr="00C97569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Pr="00C97569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C97569" w:rsidRPr="00C97569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:rsidR="004F6522" w:rsidRPr="004F6522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</w:t>
      </w:r>
      <w:r w:rsidR="00C97569">
        <w:rPr>
          <w:rFonts w:asciiTheme="minorHAnsi" w:hAnsiTheme="minorHAnsi" w:cstheme="minorHAnsi"/>
          <w:b/>
          <w:iCs/>
          <w:sz w:val="24"/>
          <w:szCs w:val="24"/>
        </w:rPr>
        <w:t>Comissões, 24</w:t>
      </w:r>
      <w:r w:rsidR="00A10C9C">
        <w:rPr>
          <w:rFonts w:asciiTheme="minorHAnsi" w:hAnsiTheme="minorHAnsi" w:cstheme="minorHAnsi"/>
          <w:b/>
          <w:iCs/>
          <w:sz w:val="24"/>
          <w:szCs w:val="24"/>
        </w:rPr>
        <w:t xml:space="preserve"> de </w:t>
      </w:r>
      <w:r w:rsidR="004C0216">
        <w:rPr>
          <w:rFonts w:asciiTheme="minorHAnsi" w:hAnsiTheme="minorHAnsi" w:cstheme="minorHAnsi"/>
          <w:b/>
          <w:iCs/>
          <w:sz w:val="24"/>
          <w:szCs w:val="24"/>
        </w:rPr>
        <w:t xml:space="preserve">julho </w:t>
      </w:r>
      <w:r w:rsidRPr="004F6522" w:rsidR="004C0216">
        <w:rPr>
          <w:rFonts w:asciiTheme="minorHAnsi" w:hAnsiTheme="minorHAnsi" w:cstheme="minorHAnsi"/>
          <w:b/>
          <w:iCs/>
          <w:sz w:val="24"/>
          <w:szCs w:val="24"/>
        </w:rPr>
        <w:t>de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2025</w:t>
      </w:r>
    </w:p>
    <w:p w:rsidR="00C97569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:rsidP="00FD3DDE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Gragnanello 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> </w:t>
      </w: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Vice-presidente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RPr="004F6522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DF6E2F" w:rsidRPr="00DF6E2F" w:rsidP="00DF6E2F">
      <w:pPr>
        <w:jc w:val="center"/>
        <w:rPr>
          <w:rFonts w:eastAsia="Arial" w:asciiTheme="minorHAnsi" w:hAnsiTheme="minorHAnsi" w:cstheme="minorHAnsi"/>
          <w:iCs/>
          <w:sz w:val="28"/>
          <w:szCs w:val="28"/>
        </w:rPr>
      </w:pPr>
      <w:r w:rsidRPr="00DF6E2F">
        <w:rPr>
          <w:rFonts w:eastAsia="Arial" w:asciiTheme="minorHAnsi" w:hAnsiTheme="minorHAnsi" w:cstheme="minorHAnsi"/>
          <w:iCs/>
          <w:sz w:val="28"/>
          <w:szCs w:val="28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364D0"/>
    <w:multiLevelType w:val="multilevel"/>
    <w:tmpl w:val="827A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F5285"/>
    <w:multiLevelType w:val="multilevel"/>
    <w:tmpl w:val="FF0E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D37CB2"/>
    <w:multiLevelType w:val="multilevel"/>
    <w:tmpl w:val="03B4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D312F7"/>
    <w:multiLevelType w:val="multilevel"/>
    <w:tmpl w:val="A62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A14E3D"/>
    <w:multiLevelType w:val="multilevel"/>
    <w:tmpl w:val="7CF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3645E3"/>
    <w:multiLevelType w:val="multilevel"/>
    <w:tmpl w:val="8DC2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A721D1"/>
    <w:multiLevelType w:val="multilevel"/>
    <w:tmpl w:val="EAE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0747B9"/>
    <w:multiLevelType w:val="multilevel"/>
    <w:tmpl w:val="6BEE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7B47C1"/>
    <w:multiLevelType w:val="multilevel"/>
    <w:tmpl w:val="D646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056DDF"/>
    <w:multiLevelType w:val="multilevel"/>
    <w:tmpl w:val="A76E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4C78F4"/>
    <w:multiLevelType w:val="multilevel"/>
    <w:tmpl w:val="154E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13"/>
  </w:num>
  <w:num w:numId="6">
    <w:abstractNumId w:val="20"/>
  </w:num>
  <w:num w:numId="7">
    <w:abstractNumId w:val="19"/>
  </w:num>
  <w:num w:numId="8">
    <w:abstractNumId w:val="12"/>
  </w:num>
  <w:num w:numId="9">
    <w:abstractNumId w:val="5"/>
  </w:num>
  <w:num w:numId="10">
    <w:abstractNumId w:val="21"/>
  </w:num>
  <w:num w:numId="11">
    <w:abstractNumId w:val="15"/>
  </w:num>
  <w:num w:numId="12">
    <w:abstractNumId w:val="18"/>
  </w:num>
  <w:num w:numId="13">
    <w:abstractNumId w:val="1"/>
  </w:num>
  <w:num w:numId="14">
    <w:abstractNumId w:val="11"/>
  </w:num>
  <w:num w:numId="15">
    <w:abstractNumId w:val="16"/>
  </w:num>
  <w:num w:numId="16">
    <w:abstractNumId w:val="22"/>
  </w:num>
  <w:num w:numId="17">
    <w:abstractNumId w:val="17"/>
  </w:num>
  <w:num w:numId="18">
    <w:abstractNumId w:val="14"/>
  </w:num>
  <w:num w:numId="19">
    <w:abstractNumId w:val="8"/>
  </w:num>
  <w:num w:numId="20">
    <w:abstractNumId w:val="10"/>
  </w:num>
  <w:num w:numId="21">
    <w:abstractNumId w:val="6"/>
  </w:num>
  <w:num w:numId="22">
    <w:abstractNumId w:val="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8F"/>
    <w:rsid w:val="00044648"/>
    <w:rsid w:val="0005594A"/>
    <w:rsid w:val="000628CA"/>
    <w:rsid w:val="00097F32"/>
    <w:rsid w:val="000D3816"/>
    <w:rsid w:val="00107091"/>
    <w:rsid w:val="0013259D"/>
    <w:rsid w:val="00145113"/>
    <w:rsid w:val="00183A77"/>
    <w:rsid w:val="001863A6"/>
    <w:rsid w:val="001A2418"/>
    <w:rsid w:val="001A3B99"/>
    <w:rsid w:val="001A632E"/>
    <w:rsid w:val="001A7AAC"/>
    <w:rsid w:val="001B1E79"/>
    <w:rsid w:val="001C6BDB"/>
    <w:rsid w:val="001E1A18"/>
    <w:rsid w:val="002051FD"/>
    <w:rsid w:val="002A1B44"/>
    <w:rsid w:val="002B025D"/>
    <w:rsid w:val="002C1B20"/>
    <w:rsid w:val="002D6FEE"/>
    <w:rsid w:val="0030304B"/>
    <w:rsid w:val="00304E22"/>
    <w:rsid w:val="00321589"/>
    <w:rsid w:val="00331083"/>
    <w:rsid w:val="00364C88"/>
    <w:rsid w:val="00365345"/>
    <w:rsid w:val="00377E96"/>
    <w:rsid w:val="003C0C62"/>
    <w:rsid w:val="003E5BDA"/>
    <w:rsid w:val="00481B36"/>
    <w:rsid w:val="004B3FED"/>
    <w:rsid w:val="004C0216"/>
    <w:rsid w:val="004F6522"/>
    <w:rsid w:val="00520E42"/>
    <w:rsid w:val="0053159D"/>
    <w:rsid w:val="005A09F8"/>
    <w:rsid w:val="006079ED"/>
    <w:rsid w:val="00651C6E"/>
    <w:rsid w:val="006A5E03"/>
    <w:rsid w:val="006F371C"/>
    <w:rsid w:val="006F3958"/>
    <w:rsid w:val="00747ADE"/>
    <w:rsid w:val="00763E5C"/>
    <w:rsid w:val="007C2AF7"/>
    <w:rsid w:val="007F01FC"/>
    <w:rsid w:val="00826348"/>
    <w:rsid w:val="008649A4"/>
    <w:rsid w:val="00870D23"/>
    <w:rsid w:val="00876412"/>
    <w:rsid w:val="008A15DA"/>
    <w:rsid w:val="008B7EE7"/>
    <w:rsid w:val="008C20A9"/>
    <w:rsid w:val="008D1416"/>
    <w:rsid w:val="0095654A"/>
    <w:rsid w:val="00966075"/>
    <w:rsid w:val="009A5702"/>
    <w:rsid w:val="00A0370B"/>
    <w:rsid w:val="00A10C9C"/>
    <w:rsid w:val="00A2285C"/>
    <w:rsid w:val="00A80956"/>
    <w:rsid w:val="00AB54DE"/>
    <w:rsid w:val="00B046B9"/>
    <w:rsid w:val="00B47A15"/>
    <w:rsid w:val="00BD598D"/>
    <w:rsid w:val="00C613C5"/>
    <w:rsid w:val="00C97569"/>
    <w:rsid w:val="00CA6A83"/>
    <w:rsid w:val="00CB1F7C"/>
    <w:rsid w:val="00CC4004"/>
    <w:rsid w:val="00CC422D"/>
    <w:rsid w:val="00CC5985"/>
    <w:rsid w:val="00CD6D39"/>
    <w:rsid w:val="00D273E7"/>
    <w:rsid w:val="00D304E3"/>
    <w:rsid w:val="00D510D8"/>
    <w:rsid w:val="00D730CA"/>
    <w:rsid w:val="00D75F46"/>
    <w:rsid w:val="00D97274"/>
    <w:rsid w:val="00DE256D"/>
    <w:rsid w:val="00DF6E2F"/>
    <w:rsid w:val="00DF77D1"/>
    <w:rsid w:val="00E13E44"/>
    <w:rsid w:val="00E34ACE"/>
    <w:rsid w:val="00E53E97"/>
    <w:rsid w:val="00E97F58"/>
    <w:rsid w:val="00EB3B08"/>
    <w:rsid w:val="00ED3103"/>
    <w:rsid w:val="00EE4E99"/>
    <w:rsid w:val="00EF43D4"/>
    <w:rsid w:val="00F378E5"/>
    <w:rsid w:val="00F44C72"/>
    <w:rsid w:val="00F61C35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13259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13259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Ttulo4Char"/>
    <w:uiPriority w:val="9"/>
    <w:qFormat/>
    <w:rsid w:val="0013259D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normas-indices-artigo">
    <w:name w:val="normas-indices-artigo"/>
    <w:basedOn w:val="DefaultParagraphFont"/>
    <w:rsid w:val="002B025D"/>
  </w:style>
  <w:style w:type="character" w:customStyle="1" w:styleId="Ttulo2Char">
    <w:name w:val="Título 2 Char"/>
    <w:basedOn w:val="DefaultParagraphFont"/>
    <w:link w:val="Heading2"/>
    <w:uiPriority w:val="9"/>
    <w:rsid w:val="0013259D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rsid w:val="0013259D"/>
    <w:rPr>
      <w:b/>
      <w:bCs/>
      <w:sz w:val="27"/>
      <w:szCs w:val="27"/>
    </w:rPr>
  </w:style>
  <w:style w:type="character" w:customStyle="1" w:styleId="Ttulo4Char">
    <w:name w:val="Título 4 Char"/>
    <w:basedOn w:val="DefaultParagraphFont"/>
    <w:link w:val="Heading4"/>
    <w:uiPriority w:val="9"/>
    <w:rsid w:val="0013259D"/>
    <w:rPr>
      <w:b/>
      <w:bCs/>
      <w:sz w:val="24"/>
      <w:szCs w:val="24"/>
    </w:rPr>
  </w:style>
  <w:style w:type="character" w:customStyle="1" w:styleId="citation-513">
    <w:name w:val="citation-513"/>
    <w:basedOn w:val="DefaultParagraphFont"/>
    <w:rsid w:val="00D97274"/>
  </w:style>
  <w:style w:type="character" w:customStyle="1" w:styleId="citation-512">
    <w:name w:val="citation-512"/>
    <w:basedOn w:val="DefaultParagraphFont"/>
    <w:rsid w:val="00D97274"/>
  </w:style>
  <w:style w:type="character" w:customStyle="1" w:styleId="citation-511">
    <w:name w:val="citation-511"/>
    <w:basedOn w:val="DefaultParagraphFont"/>
    <w:rsid w:val="00D97274"/>
  </w:style>
  <w:style w:type="character" w:customStyle="1" w:styleId="citation-510">
    <w:name w:val="citation-510"/>
    <w:basedOn w:val="DefaultParagraphFont"/>
    <w:rsid w:val="00D97274"/>
  </w:style>
  <w:style w:type="character" w:customStyle="1" w:styleId="citation-509">
    <w:name w:val="citation-509"/>
    <w:basedOn w:val="DefaultParagraphFont"/>
    <w:rsid w:val="00D97274"/>
  </w:style>
  <w:style w:type="character" w:customStyle="1" w:styleId="citation-508">
    <w:name w:val="citation-508"/>
    <w:basedOn w:val="DefaultParagraphFont"/>
    <w:rsid w:val="00D97274"/>
  </w:style>
  <w:style w:type="character" w:customStyle="1" w:styleId="citation-507">
    <w:name w:val="citation-507"/>
    <w:basedOn w:val="DefaultParagraphFont"/>
    <w:rsid w:val="00D97274"/>
  </w:style>
  <w:style w:type="character" w:customStyle="1" w:styleId="citation-506">
    <w:name w:val="citation-506"/>
    <w:basedOn w:val="DefaultParagraphFont"/>
    <w:rsid w:val="00D97274"/>
  </w:style>
  <w:style w:type="character" w:customStyle="1" w:styleId="citation-505">
    <w:name w:val="citation-505"/>
    <w:basedOn w:val="DefaultParagraphFont"/>
    <w:rsid w:val="00D97274"/>
  </w:style>
  <w:style w:type="character" w:customStyle="1" w:styleId="citation-504">
    <w:name w:val="citation-504"/>
    <w:basedOn w:val="DefaultParagraphFont"/>
    <w:rsid w:val="0095654A"/>
  </w:style>
  <w:style w:type="character" w:customStyle="1" w:styleId="citation-503">
    <w:name w:val="citation-503"/>
    <w:basedOn w:val="DefaultParagraphFont"/>
    <w:rsid w:val="0095654A"/>
  </w:style>
  <w:style w:type="character" w:customStyle="1" w:styleId="citation-502">
    <w:name w:val="citation-502"/>
    <w:basedOn w:val="DefaultParagraphFont"/>
    <w:rsid w:val="0095654A"/>
  </w:style>
  <w:style w:type="character" w:customStyle="1" w:styleId="citation-501">
    <w:name w:val="citation-501"/>
    <w:basedOn w:val="DefaultParagraphFont"/>
    <w:rsid w:val="0095654A"/>
  </w:style>
  <w:style w:type="character" w:customStyle="1" w:styleId="citation-500">
    <w:name w:val="citation-500"/>
    <w:basedOn w:val="DefaultParagraphFont"/>
    <w:rsid w:val="0095654A"/>
  </w:style>
  <w:style w:type="character" w:customStyle="1" w:styleId="citation-499">
    <w:name w:val="citation-499"/>
    <w:basedOn w:val="DefaultParagraphFont"/>
    <w:rsid w:val="0095654A"/>
  </w:style>
  <w:style w:type="character" w:customStyle="1" w:styleId="citation-498">
    <w:name w:val="citation-498"/>
    <w:basedOn w:val="DefaultParagraphFont"/>
    <w:rsid w:val="0095654A"/>
  </w:style>
  <w:style w:type="character" w:customStyle="1" w:styleId="citation-497">
    <w:name w:val="citation-497"/>
    <w:basedOn w:val="DefaultParagraphFont"/>
    <w:rsid w:val="0095654A"/>
  </w:style>
  <w:style w:type="character" w:customStyle="1" w:styleId="citation-496">
    <w:name w:val="citation-496"/>
    <w:basedOn w:val="DefaultParagraphFont"/>
    <w:rsid w:val="0095654A"/>
  </w:style>
  <w:style w:type="character" w:customStyle="1" w:styleId="citation-495">
    <w:name w:val="citation-495"/>
    <w:basedOn w:val="DefaultParagraphFont"/>
    <w:rsid w:val="0095654A"/>
  </w:style>
  <w:style w:type="character" w:customStyle="1" w:styleId="citation-494">
    <w:name w:val="citation-494"/>
    <w:basedOn w:val="DefaultParagraphFont"/>
    <w:rsid w:val="0095654A"/>
  </w:style>
  <w:style w:type="character" w:customStyle="1" w:styleId="citation-493">
    <w:name w:val="citation-493"/>
    <w:basedOn w:val="DefaultParagraphFont"/>
    <w:rsid w:val="0095654A"/>
  </w:style>
  <w:style w:type="character" w:customStyle="1" w:styleId="citation-492">
    <w:name w:val="citation-492"/>
    <w:basedOn w:val="DefaultParagraphFont"/>
    <w:rsid w:val="0095654A"/>
  </w:style>
  <w:style w:type="character" w:customStyle="1" w:styleId="citation-491">
    <w:name w:val="citation-491"/>
    <w:basedOn w:val="DefaultParagraphFont"/>
    <w:rsid w:val="0095654A"/>
  </w:style>
  <w:style w:type="character" w:customStyle="1" w:styleId="citation-490">
    <w:name w:val="citation-490"/>
    <w:basedOn w:val="DefaultParagraphFont"/>
    <w:rsid w:val="0095654A"/>
  </w:style>
  <w:style w:type="character" w:styleId="Strong">
    <w:name w:val="Strong"/>
    <w:basedOn w:val="DefaultParagraphFont"/>
    <w:uiPriority w:val="22"/>
    <w:qFormat/>
    <w:rsid w:val="00A22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1542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9854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Wilians</cp:lastModifiedBy>
  <cp:revision>2</cp:revision>
  <cp:lastPrinted>2025-08-04T14:54:00Z</cp:lastPrinted>
  <dcterms:created xsi:type="dcterms:W3CDTF">2025-08-04T17:24:00Z</dcterms:created>
  <dcterms:modified xsi:type="dcterms:W3CDTF">2025-08-04T17:24:00Z</dcterms:modified>
  <dc:language>pt-BR</dc:language>
</cp:coreProperties>
</file>