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004A4450">
        <w:rPr>
          <w:rFonts w:asciiTheme="majorHAnsi" w:hAnsiTheme="majorHAnsi" w:cstheme="majorHAnsi"/>
          <w:b/>
          <w:color w:val="000000"/>
          <w:sz w:val="24"/>
          <w:szCs w:val="24"/>
        </w:rPr>
        <w:t xml:space="preserve"> ao Projeto de Lei Nº 62</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4A4450">
        <w:rPr>
          <w:rFonts w:asciiTheme="majorHAnsi" w:hAnsiTheme="majorHAnsi" w:cstheme="majorHAnsi"/>
          <w:b/>
          <w:color w:val="000000"/>
          <w:sz w:val="24"/>
          <w:szCs w:val="24"/>
        </w:rPr>
        <w:t>º 102</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4A4450">
        <w:rPr>
          <w:rFonts w:asciiTheme="majorHAnsi" w:hAnsiTheme="majorHAnsi" w:cstheme="majorHAnsi"/>
          <w:sz w:val="24"/>
          <w:szCs w:val="24"/>
        </w:rPr>
        <w:t>de Lei nº 62</w:t>
      </w:r>
      <w:r w:rsidR="002B5A45">
        <w:rPr>
          <w:rFonts w:asciiTheme="majorHAnsi" w:hAnsiTheme="majorHAnsi" w:cstheme="majorHAnsi"/>
          <w:sz w:val="24"/>
          <w:szCs w:val="24"/>
        </w:rPr>
        <w:t>/2025, de autoria do</w:t>
      </w:r>
      <w:r w:rsidR="004A4450">
        <w:rPr>
          <w:rFonts w:asciiTheme="majorHAnsi" w:hAnsiTheme="majorHAnsi" w:cstheme="majorHAnsi"/>
          <w:sz w:val="24"/>
          <w:szCs w:val="24"/>
        </w:rPr>
        <w:t>s</w:t>
      </w:r>
      <w:r w:rsidR="002B5A45">
        <w:rPr>
          <w:rFonts w:asciiTheme="majorHAnsi" w:hAnsiTheme="majorHAnsi" w:cstheme="majorHAnsi"/>
          <w:sz w:val="24"/>
          <w:szCs w:val="24"/>
        </w:rPr>
        <w:t xml:space="preserve"> Exmo</w:t>
      </w:r>
      <w:r w:rsidR="004A4450">
        <w:rPr>
          <w:rFonts w:asciiTheme="majorHAnsi" w:hAnsiTheme="majorHAnsi" w:cstheme="majorHAnsi"/>
          <w:sz w:val="24"/>
          <w:szCs w:val="24"/>
        </w:rPr>
        <w:t>s</w:t>
      </w:r>
      <w:r w:rsidRPr="00D677F3">
        <w:rPr>
          <w:rFonts w:asciiTheme="majorHAnsi" w:hAnsiTheme="majorHAnsi" w:cstheme="majorHAnsi"/>
          <w:sz w:val="24"/>
          <w:szCs w:val="24"/>
        </w:rPr>
        <w:t>. Vereador</w:t>
      </w:r>
      <w:r w:rsidR="004A4450">
        <w:rPr>
          <w:rFonts w:asciiTheme="majorHAnsi" w:hAnsiTheme="majorHAnsi" w:cstheme="majorHAnsi"/>
          <w:sz w:val="24"/>
          <w:szCs w:val="24"/>
        </w:rPr>
        <w:t>es</w:t>
      </w:r>
      <w:r w:rsidRPr="00D677F3">
        <w:rPr>
          <w:rFonts w:asciiTheme="majorHAnsi" w:hAnsiTheme="majorHAnsi" w:cstheme="majorHAnsi"/>
          <w:sz w:val="24"/>
          <w:szCs w:val="24"/>
        </w:rPr>
        <w:t xml:space="preserve"> </w:t>
      </w:r>
      <w:r w:rsidR="004A4450">
        <w:rPr>
          <w:rFonts w:asciiTheme="majorHAnsi" w:hAnsiTheme="majorHAnsi" w:cstheme="majorHAnsi"/>
          <w:sz w:val="24"/>
          <w:szCs w:val="24"/>
        </w:rPr>
        <w:t xml:space="preserve">Cristiano </w:t>
      </w:r>
      <w:r w:rsidR="004A4450">
        <w:rPr>
          <w:rFonts w:asciiTheme="majorHAnsi" w:hAnsiTheme="majorHAnsi" w:cstheme="majorHAnsi"/>
          <w:sz w:val="24"/>
          <w:szCs w:val="24"/>
        </w:rPr>
        <w:t>Gaioto</w:t>
      </w:r>
      <w:r w:rsidR="004A4450">
        <w:rPr>
          <w:rFonts w:asciiTheme="majorHAnsi" w:hAnsiTheme="majorHAnsi" w:cstheme="majorHAnsi"/>
          <w:sz w:val="24"/>
          <w:szCs w:val="24"/>
        </w:rPr>
        <w:t xml:space="preserve">, Manoel Eduardo Pereira da Cruz Palomino, Márcio Dener </w:t>
      </w:r>
      <w:r w:rsidR="004A4450">
        <w:rPr>
          <w:rFonts w:asciiTheme="majorHAnsi" w:hAnsiTheme="majorHAnsi" w:cstheme="majorHAnsi"/>
          <w:sz w:val="24"/>
          <w:szCs w:val="24"/>
        </w:rPr>
        <w:t>Coran</w:t>
      </w:r>
      <w:r w:rsidR="004A4450">
        <w:rPr>
          <w:rFonts w:asciiTheme="majorHAnsi" w:hAnsiTheme="majorHAnsi" w:cstheme="majorHAnsi"/>
          <w:sz w:val="24"/>
          <w:szCs w:val="24"/>
        </w:rPr>
        <w:t xml:space="preserve"> e Wagner Ricardo Pereira</w:t>
      </w:r>
      <w:r w:rsidRPr="00D677F3">
        <w:rPr>
          <w:rFonts w:asciiTheme="majorHAnsi" w:hAnsiTheme="majorHAnsi" w:cstheme="majorHAnsi"/>
          <w:sz w:val="24"/>
          <w:szCs w:val="24"/>
        </w:rPr>
        <w:t>, sob relatoria da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P="00D677F3">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Os Exmos</w:t>
      </w:r>
      <w:r w:rsidRPr="00D677F3">
        <w:rPr>
          <w:rFonts w:asciiTheme="majorHAnsi" w:hAnsiTheme="majorHAnsi" w:cstheme="majorHAnsi"/>
          <w:sz w:val="24"/>
          <w:szCs w:val="24"/>
        </w:rPr>
        <w:t>. Vereador</w:t>
      </w:r>
      <w:r>
        <w:rPr>
          <w:rFonts w:asciiTheme="majorHAnsi" w:hAnsiTheme="majorHAnsi" w:cstheme="majorHAnsi"/>
          <w:sz w:val="24"/>
          <w:szCs w:val="24"/>
        </w:rPr>
        <w:t>es</w:t>
      </w:r>
      <w:r w:rsidRPr="00D677F3">
        <w:rPr>
          <w:rFonts w:asciiTheme="majorHAnsi" w:hAnsiTheme="majorHAnsi" w:cstheme="majorHAnsi"/>
          <w:sz w:val="24"/>
          <w:szCs w:val="24"/>
        </w:rPr>
        <w:t xml:space="preserve"> </w:t>
      </w:r>
      <w:r>
        <w:rPr>
          <w:rFonts w:asciiTheme="majorHAnsi" w:hAnsiTheme="majorHAnsi" w:cstheme="majorHAnsi"/>
          <w:sz w:val="24"/>
          <w:szCs w:val="24"/>
        </w:rPr>
        <w:t xml:space="preserve">Cristiano </w:t>
      </w:r>
      <w:r>
        <w:rPr>
          <w:rFonts w:asciiTheme="majorHAnsi" w:hAnsiTheme="majorHAnsi" w:cstheme="majorHAnsi"/>
          <w:sz w:val="24"/>
          <w:szCs w:val="24"/>
        </w:rPr>
        <w:t>Gaioto</w:t>
      </w:r>
      <w:r>
        <w:rPr>
          <w:rFonts w:asciiTheme="majorHAnsi" w:hAnsiTheme="majorHAnsi" w:cstheme="majorHAnsi"/>
          <w:sz w:val="24"/>
          <w:szCs w:val="24"/>
        </w:rPr>
        <w:t xml:space="preserve">, Manoel Eduardo Pereira da Cruz Palomino, Márcio Dener </w:t>
      </w:r>
      <w:r>
        <w:rPr>
          <w:rFonts w:asciiTheme="majorHAnsi" w:hAnsiTheme="majorHAnsi" w:cstheme="majorHAnsi"/>
          <w:sz w:val="24"/>
          <w:szCs w:val="24"/>
        </w:rPr>
        <w:t>Coran</w:t>
      </w:r>
      <w:r>
        <w:rPr>
          <w:rFonts w:asciiTheme="majorHAnsi" w:hAnsiTheme="majorHAnsi" w:cstheme="majorHAnsi"/>
          <w:sz w:val="24"/>
          <w:szCs w:val="24"/>
        </w:rPr>
        <w:t xml:space="preserve"> e Wagner Ricardo Pereira protocolaram</w:t>
      </w:r>
      <w:r w:rsidRPr="00D677F3" w:rsidR="00472595">
        <w:rPr>
          <w:rFonts w:asciiTheme="majorHAnsi" w:hAnsiTheme="majorHAnsi" w:cstheme="majorHAnsi"/>
          <w:sz w:val="24"/>
          <w:szCs w:val="24"/>
        </w:rPr>
        <w:t xml:space="preserve"> nesta Cas</w:t>
      </w:r>
      <w:r>
        <w:rPr>
          <w:rFonts w:asciiTheme="majorHAnsi" w:hAnsiTheme="majorHAnsi" w:cstheme="majorHAnsi"/>
          <w:sz w:val="24"/>
          <w:szCs w:val="24"/>
        </w:rPr>
        <w:t>a de Leis o Projeto de Lei nº 62</w:t>
      </w:r>
      <w:r w:rsidRPr="00D677F3" w:rsidR="00472595">
        <w:rPr>
          <w:rFonts w:asciiTheme="majorHAnsi" w:hAnsiTheme="majorHAnsi" w:cstheme="majorHAnsi"/>
          <w:sz w:val="24"/>
          <w:szCs w:val="24"/>
        </w:rPr>
        <w:t xml:space="preserve">/2025, que </w:t>
      </w:r>
      <w:r w:rsidR="00BE68FF">
        <w:rPr>
          <w:rFonts w:asciiTheme="majorHAnsi" w:hAnsiTheme="majorHAnsi" w:cstheme="majorHAnsi"/>
          <w:sz w:val="24"/>
          <w:szCs w:val="24"/>
        </w:rPr>
        <w:t>”</w:t>
      </w:r>
      <w:r w:rsidRPr="002B5A45" w:rsidR="002B5A45">
        <w:rPr>
          <w:rFonts w:asciiTheme="majorHAnsi" w:hAnsiTheme="majorHAnsi" w:cstheme="majorHAnsi"/>
          <w:b/>
          <w:i/>
          <w:sz w:val="24"/>
          <w:szCs w:val="24"/>
        </w:rPr>
        <w:t xml:space="preserve">INSTITUI </w:t>
      </w:r>
      <w:r>
        <w:rPr>
          <w:rFonts w:asciiTheme="majorHAnsi" w:hAnsiTheme="majorHAnsi" w:cstheme="majorHAnsi"/>
          <w:b/>
          <w:i/>
          <w:sz w:val="24"/>
          <w:szCs w:val="24"/>
        </w:rPr>
        <w:t>O PROGRAMA VIZINHANÇA SOLIDÁRIA NO MUNICÍPIO DE MOGI MIRIM, E DÁ OUTRAS PROVIDÊNCIAS</w:t>
      </w:r>
      <w:r w:rsidR="00BE68FF">
        <w:rPr>
          <w:rFonts w:asciiTheme="majorHAnsi" w:hAnsiTheme="majorHAnsi" w:cstheme="majorHAnsi"/>
          <w:b/>
          <w:i/>
          <w:sz w:val="24"/>
          <w:szCs w:val="24"/>
        </w:rPr>
        <w:t>”</w:t>
      </w:r>
    </w:p>
    <w:p w:rsidR="00BE68FF" w:rsidRPr="00BE68FF" w:rsidP="00D677F3">
      <w:pPr>
        <w:spacing w:before="100" w:beforeAutospacing="1"/>
        <w:contextualSpacing/>
        <w:jc w:val="both"/>
        <w:rPr>
          <w:rFonts w:asciiTheme="majorHAnsi" w:hAnsiTheme="majorHAnsi" w:cstheme="majorHAnsi"/>
          <w:b/>
          <w:i/>
          <w:sz w:val="24"/>
          <w:szCs w:val="24"/>
        </w:rPr>
      </w:pPr>
    </w:p>
    <w:p w:rsidR="00E471F3" w:rsidRPr="00E471F3" w:rsidP="00620B91">
      <w:pPr>
        <w:pStyle w:val="NormalWeb"/>
        <w:jc w:val="both"/>
        <w:rPr>
          <w:rFonts w:asciiTheme="majorHAnsi" w:hAnsiTheme="majorHAnsi" w:cstheme="majorHAnsi"/>
        </w:rPr>
      </w:pPr>
      <w:r w:rsidRPr="00D677F3">
        <w:rPr>
          <w:rFonts w:asciiTheme="majorHAnsi" w:hAnsiTheme="majorHAnsi" w:cstheme="majorHAnsi"/>
        </w:rPr>
        <w:t xml:space="preserve">            A </w:t>
      </w:r>
      <w:r w:rsidR="00BF47AD">
        <w:rPr>
          <w:rFonts w:asciiTheme="majorHAnsi" w:hAnsiTheme="majorHAnsi" w:cstheme="majorHAnsi"/>
        </w:rPr>
        <w:t xml:space="preserve">propositura em tela busca </w:t>
      </w:r>
      <w:r w:rsidR="002F589A">
        <w:rPr>
          <w:rFonts w:asciiTheme="majorHAnsi" w:hAnsiTheme="majorHAnsi" w:cstheme="majorHAnsi"/>
        </w:rPr>
        <w:t>instituir o Programa Vizinhança Solidária em Mogi Mirim, com o objetivo de fortalecimento da segurança comunitária e a cooperação entre vizinhos</w:t>
      </w:r>
      <w:r w:rsidRPr="002F589A" w:rsidR="002F589A">
        <w:rPr>
          <w:rFonts w:asciiTheme="majorHAnsi" w:hAnsiTheme="majorHAnsi" w:cstheme="majorHAnsi"/>
        </w:rPr>
        <w:t xml:space="preserve">, </w:t>
      </w:r>
      <w:r w:rsidR="00620B91">
        <w:rPr>
          <w:rFonts w:asciiTheme="majorHAnsi" w:hAnsiTheme="majorHAnsi" w:cstheme="majorHAnsi"/>
        </w:rPr>
        <w:t xml:space="preserve">que </w:t>
      </w:r>
      <w:r w:rsidRPr="002F589A" w:rsidR="002F589A">
        <w:rPr>
          <w:rFonts w:asciiTheme="majorHAnsi" w:hAnsiTheme="majorHAnsi" w:cstheme="majorHAnsi"/>
        </w:rPr>
        <w:t>por mei</w:t>
      </w:r>
      <w:r w:rsidR="00620B91">
        <w:rPr>
          <w:rFonts w:asciiTheme="majorHAnsi" w:hAnsiTheme="majorHAnsi" w:cstheme="majorHAnsi"/>
        </w:rPr>
        <w:t>o das secretarias competentes,</w:t>
      </w:r>
      <w:r w:rsidR="00114A6E">
        <w:rPr>
          <w:rFonts w:asciiTheme="majorHAnsi" w:hAnsiTheme="majorHAnsi" w:cstheme="majorHAnsi"/>
        </w:rPr>
        <w:t xml:space="preserve"> criaç</w:t>
      </w:r>
      <w:r w:rsidR="000A732D">
        <w:rPr>
          <w:rFonts w:asciiTheme="majorHAnsi" w:hAnsiTheme="majorHAnsi" w:cstheme="majorHAnsi"/>
        </w:rPr>
        <w:t>ão</w:t>
      </w:r>
      <w:r w:rsidRPr="002F589A" w:rsidR="002F589A">
        <w:rPr>
          <w:rFonts w:asciiTheme="majorHAnsi" w:hAnsiTheme="majorHAnsi" w:cstheme="majorHAnsi"/>
        </w:rPr>
        <w:t xml:space="preserve"> redes de comu</w:t>
      </w:r>
      <w:r w:rsidR="00114A6E">
        <w:rPr>
          <w:rFonts w:asciiTheme="majorHAnsi" w:hAnsiTheme="majorHAnsi" w:cstheme="majorHAnsi"/>
        </w:rPr>
        <w:t>nicação entre moradores, fomento de</w:t>
      </w:r>
      <w:r w:rsidRPr="002F589A" w:rsidR="002F589A">
        <w:rPr>
          <w:rFonts w:asciiTheme="majorHAnsi" w:hAnsiTheme="majorHAnsi" w:cstheme="majorHAnsi"/>
        </w:rPr>
        <w:t xml:space="preserve"> ações educativas e preventivas, </w:t>
      </w:r>
      <w:r w:rsidR="00114A6E">
        <w:rPr>
          <w:rFonts w:asciiTheme="majorHAnsi" w:hAnsiTheme="majorHAnsi" w:cstheme="majorHAnsi"/>
        </w:rPr>
        <w:t>celebração de</w:t>
      </w:r>
      <w:r w:rsidRPr="002F589A" w:rsidR="002F589A">
        <w:rPr>
          <w:rFonts w:asciiTheme="majorHAnsi" w:hAnsiTheme="majorHAnsi" w:cstheme="majorHAnsi"/>
        </w:rPr>
        <w:t xml:space="preserve"> parcerias com órgã</w:t>
      </w:r>
      <w:r w:rsidR="00114A6E">
        <w:rPr>
          <w:rFonts w:asciiTheme="majorHAnsi" w:hAnsiTheme="majorHAnsi" w:cstheme="majorHAnsi"/>
        </w:rPr>
        <w:t>os públicos e privados, e promoção de</w:t>
      </w:r>
      <w:r w:rsidRPr="002F589A" w:rsidR="002F589A">
        <w:rPr>
          <w:rFonts w:asciiTheme="majorHAnsi" w:hAnsiTheme="majorHAnsi" w:cstheme="majorHAnsi"/>
        </w:rPr>
        <w:t xml:space="preserve"> campanhas e eventos voltados à cultura da segurança compartilhada.</w:t>
      </w:r>
      <w:r w:rsidR="002F589A">
        <w:rPr>
          <w:rFonts w:asciiTheme="majorHAnsi" w:hAnsiTheme="majorHAnsi" w:cstheme="majorHAnsi"/>
        </w:rPr>
        <w:t xml:space="preserve"> </w:t>
      </w:r>
      <w:r w:rsidRPr="002F589A" w:rsidR="002F589A">
        <w:rPr>
          <w:rFonts w:asciiTheme="majorHAnsi" w:hAnsiTheme="majorHAnsi" w:cstheme="majorHAnsi"/>
        </w:rPr>
        <w:t>Dentre as</w:t>
      </w:r>
      <w:r w:rsidR="002F589A">
        <w:rPr>
          <w:rFonts w:asciiTheme="majorHAnsi" w:hAnsiTheme="majorHAnsi" w:cstheme="majorHAnsi"/>
        </w:rPr>
        <w:t xml:space="preserve"> medidas previstas, destacam-se: r</w:t>
      </w:r>
      <w:r w:rsidRPr="002F589A" w:rsidR="002F589A">
        <w:rPr>
          <w:rFonts w:asciiTheme="majorHAnsi" w:hAnsiTheme="majorHAnsi" w:cstheme="majorHAnsi"/>
        </w:rPr>
        <w:t>econhecimento formal dos grupos participantes;</w:t>
      </w:r>
      <w:r w:rsidR="002F589A">
        <w:rPr>
          <w:rFonts w:asciiTheme="majorHAnsi" w:hAnsiTheme="majorHAnsi" w:cstheme="majorHAnsi"/>
        </w:rPr>
        <w:t xml:space="preserve"> a</w:t>
      </w:r>
      <w:r w:rsidRPr="002F589A" w:rsidR="002F589A">
        <w:rPr>
          <w:rFonts w:asciiTheme="majorHAnsi" w:hAnsiTheme="majorHAnsi" w:cstheme="majorHAnsi"/>
        </w:rPr>
        <w:t>poio à instalação de câmeras de segurança comunitária;</w:t>
      </w:r>
      <w:r w:rsidR="002F589A">
        <w:rPr>
          <w:rFonts w:asciiTheme="majorHAnsi" w:hAnsiTheme="majorHAnsi" w:cstheme="majorHAnsi"/>
        </w:rPr>
        <w:t xml:space="preserve"> of</w:t>
      </w:r>
      <w:r w:rsidRPr="002F589A" w:rsidR="002F589A">
        <w:rPr>
          <w:rFonts w:asciiTheme="majorHAnsi" w:hAnsiTheme="majorHAnsi" w:cstheme="majorHAnsi"/>
        </w:rPr>
        <w:t>erecimento de trei</w:t>
      </w:r>
      <w:r w:rsidR="002F589A">
        <w:rPr>
          <w:rFonts w:asciiTheme="majorHAnsi" w:hAnsiTheme="majorHAnsi" w:cstheme="majorHAnsi"/>
        </w:rPr>
        <w:t>namentos e materiais educativos e c</w:t>
      </w:r>
      <w:r w:rsidRPr="002F589A" w:rsidR="002F589A">
        <w:rPr>
          <w:rFonts w:asciiTheme="majorHAnsi" w:hAnsiTheme="majorHAnsi" w:cstheme="majorHAnsi"/>
        </w:rPr>
        <w:t xml:space="preserve">riação de um </w:t>
      </w:r>
      <w:r w:rsidR="002F589A">
        <w:rPr>
          <w:rFonts w:asciiTheme="majorHAnsi" w:hAnsiTheme="majorHAnsi" w:cstheme="majorHAnsi"/>
        </w:rPr>
        <w:t>possível</w:t>
      </w:r>
      <w:r w:rsidRPr="002F589A" w:rsidR="002F589A">
        <w:rPr>
          <w:rFonts w:asciiTheme="majorHAnsi" w:hAnsiTheme="majorHAnsi" w:cstheme="majorHAnsi"/>
          <w:b/>
        </w:rPr>
        <w:t xml:space="preserve"> </w:t>
      </w:r>
      <w:r w:rsidRPr="002F589A" w:rsidR="002F589A">
        <w:rPr>
          <w:rStyle w:val="Strong"/>
          <w:rFonts w:asciiTheme="majorHAnsi" w:hAnsiTheme="majorHAnsi" w:cstheme="majorHAnsi"/>
          <w:b w:val="0"/>
        </w:rPr>
        <w:t>Fundo Municipal de Segurança Comunitária</w:t>
      </w:r>
      <w:r w:rsidRPr="002F589A" w:rsidR="002F589A">
        <w:rPr>
          <w:rFonts w:asciiTheme="majorHAnsi" w:hAnsiTheme="majorHAnsi" w:cstheme="majorHAnsi"/>
        </w:rPr>
        <w:t>, para suporte às ações locais.</w:t>
      </w:r>
      <w:r w:rsidR="002F589A">
        <w:rPr>
          <w:rFonts w:asciiTheme="majorHAnsi" w:hAnsiTheme="majorHAnsi" w:cstheme="majorHAnsi"/>
        </w:rPr>
        <w:t xml:space="preserve"> Com isso, o intuito desse programa é reduzir a criminalidade, incentivar a integração social, fortalecer os laços comunitários e promover a convivência harmoniosa entre vizinhos.</w:t>
      </w:r>
    </w:p>
    <w:p w:rsidR="00D677F3" w:rsidRPr="00620B91" w:rsidP="00C56DF7">
      <w:pPr>
        <w:spacing w:before="100" w:beforeAutospacing="1"/>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00C56DF7">
        <w:rPr>
          <w:rFonts w:asciiTheme="majorHAnsi" w:hAnsiTheme="majorHAnsi" w:cstheme="majorHAnsi"/>
          <w:sz w:val="24"/>
          <w:szCs w:val="24"/>
        </w:rPr>
        <w:t>O</w:t>
      </w:r>
      <w:r w:rsidR="004A4450">
        <w:rPr>
          <w:rFonts w:asciiTheme="majorHAnsi" w:hAnsiTheme="majorHAnsi" w:cstheme="majorHAnsi"/>
          <w:sz w:val="24"/>
          <w:szCs w:val="24"/>
        </w:rPr>
        <w:t>s</w:t>
      </w:r>
      <w:r w:rsidRPr="00D677F3" w:rsidR="00472595">
        <w:rPr>
          <w:rFonts w:asciiTheme="majorHAnsi" w:hAnsiTheme="majorHAnsi" w:cstheme="majorHAnsi"/>
          <w:sz w:val="24"/>
          <w:szCs w:val="24"/>
        </w:rPr>
        <w:t xml:space="preserve"> autor</w:t>
      </w:r>
      <w:r w:rsidR="004A4450">
        <w:rPr>
          <w:rFonts w:asciiTheme="majorHAnsi" w:hAnsiTheme="majorHAnsi" w:cstheme="majorHAnsi"/>
          <w:sz w:val="24"/>
          <w:szCs w:val="24"/>
        </w:rPr>
        <w:t>es</w:t>
      </w:r>
      <w:r w:rsidRPr="00D677F3" w:rsidR="00472595">
        <w:rPr>
          <w:rFonts w:asciiTheme="majorHAnsi" w:hAnsiTheme="majorHAnsi" w:cstheme="majorHAnsi"/>
          <w:sz w:val="24"/>
          <w:szCs w:val="24"/>
        </w:rPr>
        <w:t xml:space="preserve"> argumenta</w:t>
      </w:r>
      <w:r w:rsidR="004A4450">
        <w:rPr>
          <w:rFonts w:asciiTheme="majorHAnsi" w:hAnsiTheme="majorHAnsi" w:cstheme="majorHAnsi"/>
          <w:sz w:val="24"/>
          <w:szCs w:val="24"/>
        </w:rPr>
        <w:t>m</w:t>
      </w:r>
      <w:r w:rsidRPr="00D677F3" w:rsidR="00472595">
        <w:rPr>
          <w:rFonts w:asciiTheme="majorHAnsi" w:hAnsiTheme="majorHAnsi" w:cstheme="majorHAnsi"/>
          <w:sz w:val="24"/>
          <w:szCs w:val="24"/>
        </w:rPr>
        <w:t xml:space="preserve"> que </w:t>
      </w:r>
      <w:r w:rsidR="00C56DF7">
        <w:rPr>
          <w:rFonts w:asciiTheme="majorHAnsi" w:hAnsiTheme="majorHAnsi" w:cstheme="majorHAnsi"/>
          <w:sz w:val="24"/>
          <w:szCs w:val="24"/>
        </w:rPr>
        <w:t>“</w:t>
      </w:r>
      <w:r w:rsidRPr="004A4450" w:rsidR="004A4450">
        <w:rPr>
          <w:rFonts w:asciiTheme="majorHAnsi" w:hAnsiTheme="majorHAnsi" w:cstheme="majorHAnsi"/>
          <w:i/>
          <w:sz w:val="24"/>
          <w:szCs w:val="24"/>
        </w:rPr>
        <w:t>Os princi</w:t>
      </w:r>
      <w:r w:rsidR="004A4450">
        <w:rPr>
          <w:rFonts w:asciiTheme="majorHAnsi" w:hAnsiTheme="majorHAnsi" w:cstheme="majorHAnsi"/>
          <w:i/>
          <w:sz w:val="24"/>
          <w:szCs w:val="24"/>
        </w:rPr>
        <w:t>pais pontos deste projeto são: f</w:t>
      </w:r>
      <w:r w:rsidRPr="004A4450" w:rsidR="004A4450">
        <w:rPr>
          <w:rFonts w:asciiTheme="majorHAnsi" w:hAnsiTheme="majorHAnsi" w:cstheme="majorHAnsi"/>
          <w:i/>
          <w:sz w:val="24"/>
          <w:szCs w:val="24"/>
        </w:rPr>
        <w:t>ortalecim</w:t>
      </w:r>
      <w:r w:rsidR="004A4450">
        <w:rPr>
          <w:rFonts w:asciiTheme="majorHAnsi" w:hAnsiTheme="majorHAnsi" w:cstheme="majorHAnsi"/>
          <w:i/>
          <w:sz w:val="24"/>
          <w:szCs w:val="24"/>
        </w:rPr>
        <w:t>ento da Segurança Comunitária, c</w:t>
      </w:r>
      <w:r w:rsidRPr="004A4450" w:rsidR="004A4450">
        <w:rPr>
          <w:rFonts w:asciiTheme="majorHAnsi" w:hAnsiTheme="majorHAnsi" w:cstheme="majorHAnsi"/>
          <w:i/>
          <w:sz w:val="24"/>
          <w:szCs w:val="24"/>
        </w:rPr>
        <w:t>om a colaboração entre vizinhos e a integração com órgãos de segurança, é possível prevenir crimes e aumentar a se</w:t>
      </w:r>
      <w:r w:rsidR="004A4450">
        <w:rPr>
          <w:rFonts w:asciiTheme="majorHAnsi" w:hAnsiTheme="majorHAnsi" w:cstheme="majorHAnsi"/>
          <w:i/>
          <w:sz w:val="24"/>
          <w:szCs w:val="24"/>
        </w:rPr>
        <w:t>nsação de segurança no bairro, Promoção da Cidadania Ativa, o</w:t>
      </w:r>
      <w:r w:rsidRPr="004A4450" w:rsidR="004A4450">
        <w:rPr>
          <w:rFonts w:asciiTheme="majorHAnsi" w:hAnsiTheme="majorHAnsi" w:cstheme="majorHAnsi"/>
          <w:i/>
          <w:sz w:val="24"/>
          <w:szCs w:val="24"/>
        </w:rPr>
        <w:t xml:space="preserve"> projeto incentiva a participação dos moradores na construção de um ambiente mais seguro e solidário, estimulando o senso</w:t>
      </w:r>
      <w:r w:rsidR="004A4450">
        <w:rPr>
          <w:rFonts w:asciiTheme="majorHAnsi" w:hAnsiTheme="majorHAnsi" w:cstheme="majorHAnsi"/>
          <w:i/>
          <w:sz w:val="24"/>
          <w:szCs w:val="24"/>
        </w:rPr>
        <w:t xml:space="preserve"> de responsabilidade coletiva, a</w:t>
      </w:r>
      <w:r w:rsidRPr="004A4450" w:rsidR="004A4450">
        <w:rPr>
          <w:rFonts w:asciiTheme="majorHAnsi" w:hAnsiTheme="majorHAnsi" w:cstheme="majorHAnsi"/>
          <w:i/>
          <w:sz w:val="24"/>
          <w:szCs w:val="24"/>
        </w:rPr>
        <w:t>poio aos CONSEG e Parcerias Institucionais</w:t>
      </w:r>
      <w:r w:rsidR="00C56DF7">
        <w:rPr>
          <w:rFonts w:asciiTheme="majorHAnsi" w:hAnsiTheme="majorHAnsi" w:cstheme="majorHAnsi"/>
          <w:i/>
          <w:sz w:val="24"/>
          <w:szCs w:val="24"/>
        </w:rPr>
        <w:t>”</w:t>
      </w:r>
      <w:r w:rsidR="00C56DF7">
        <w:t>.</w:t>
      </w:r>
      <w:r w:rsidR="00637C5F">
        <w:rPr>
          <w:rFonts w:asciiTheme="majorHAnsi" w:hAnsiTheme="majorHAnsi" w:cstheme="majorHAnsi"/>
          <w:sz w:val="24"/>
          <w:szCs w:val="24"/>
        </w:rPr>
        <w:t xml:space="preserve"> </w:t>
      </w:r>
      <w:r w:rsidR="00C56DF7">
        <w:rPr>
          <w:rFonts w:asciiTheme="majorHAnsi" w:hAnsiTheme="majorHAnsi" w:cstheme="majorHAnsi"/>
          <w:sz w:val="24"/>
          <w:szCs w:val="24"/>
        </w:rPr>
        <w:t>O</w:t>
      </w:r>
      <w:r w:rsidR="004A4450">
        <w:rPr>
          <w:rFonts w:asciiTheme="majorHAnsi" w:hAnsiTheme="majorHAnsi" w:cstheme="majorHAnsi"/>
          <w:sz w:val="24"/>
          <w:szCs w:val="24"/>
        </w:rPr>
        <w:t>s</w:t>
      </w:r>
      <w:r>
        <w:rPr>
          <w:rFonts w:asciiTheme="majorHAnsi" w:hAnsiTheme="majorHAnsi" w:cstheme="majorHAnsi"/>
          <w:sz w:val="24"/>
          <w:szCs w:val="24"/>
        </w:rPr>
        <w:t xml:space="preserve"> </w:t>
      </w:r>
      <w:r w:rsidRPr="00D677F3" w:rsidR="00472595">
        <w:rPr>
          <w:rFonts w:asciiTheme="majorHAnsi" w:hAnsiTheme="majorHAnsi" w:cstheme="majorHAnsi"/>
          <w:sz w:val="24"/>
          <w:szCs w:val="24"/>
        </w:rPr>
        <w:t>autor</w:t>
      </w:r>
      <w:r w:rsidR="004A4450">
        <w:rPr>
          <w:rFonts w:asciiTheme="majorHAnsi" w:hAnsiTheme="majorHAnsi" w:cstheme="majorHAnsi"/>
          <w:sz w:val="24"/>
          <w:szCs w:val="24"/>
        </w:rPr>
        <w:t>es</w:t>
      </w:r>
      <w:r w:rsidRPr="00D677F3" w:rsidR="00472595">
        <w:rPr>
          <w:rFonts w:asciiTheme="majorHAnsi" w:hAnsiTheme="majorHAnsi" w:cstheme="majorHAnsi"/>
          <w:sz w:val="24"/>
          <w:szCs w:val="24"/>
        </w:rPr>
        <w:t xml:space="preserve"> complementa</w:t>
      </w:r>
      <w:r w:rsidR="004A4450">
        <w:rPr>
          <w:rFonts w:asciiTheme="majorHAnsi" w:hAnsiTheme="majorHAnsi" w:cstheme="majorHAnsi"/>
          <w:sz w:val="24"/>
          <w:szCs w:val="24"/>
        </w:rPr>
        <w:t>m</w:t>
      </w:r>
      <w:r w:rsidRPr="00D677F3" w:rsidR="00472595">
        <w:rPr>
          <w:rFonts w:asciiTheme="majorHAnsi" w:hAnsiTheme="majorHAnsi" w:cstheme="majorHAnsi"/>
          <w:sz w:val="24"/>
          <w:szCs w:val="24"/>
        </w:rPr>
        <w:t xml:space="preserve"> ainda que </w:t>
      </w:r>
      <w:r w:rsidR="00C56DF7">
        <w:rPr>
          <w:rFonts w:asciiTheme="majorHAnsi" w:hAnsiTheme="majorHAnsi" w:cstheme="majorHAnsi"/>
          <w:sz w:val="24"/>
          <w:szCs w:val="24"/>
        </w:rPr>
        <w:t>“</w:t>
      </w:r>
      <w:r w:rsidRPr="004A4450" w:rsidR="004A4450">
        <w:rPr>
          <w:rFonts w:asciiTheme="majorHAnsi" w:hAnsiTheme="majorHAnsi" w:cstheme="majorHAnsi"/>
          <w:i/>
          <w:sz w:val="24"/>
          <w:szCs w:val="24"/>
        </w:rPr>
        <w:t>A formalização da cooperação entre vizinhos, CONSEG e Prefeitura garante mais estrutura e eficiência na impleme</w:t>
      </w:r>
      <w:r w:rsidR="002F589A">
        <w:rPr>
          <w:rFonts w:asciiTheme="majorHAnsi" w:hAnsiTheme="majorHAnsi" w:cstheme="majorHAnsi"/>
          <w:i/>
          <w:sz w:val="24"/>
          <w:szCs w:val="24"/>
        </w:rPr>
        <w:t xml:space="preserve">ntação das ações de segurança e reduz </w:t>
      </w:r>
      <w:r w:rsidRPr="004A4450" w:rsidR="004A4450">
        <w:rPr>
          <w:rFonts w:asciiTheme="majorHAnsi" w:hAnsiTheme="majorHAnsi" w:cstheme="majorHAnsi"/>
          <w:i/>
          <w:sz w:val="24"/>
          <w:szCs w:val="24"/>
        </w:rPr>
        <w:t>a Criminalidade e Prevenção</w:t>
      </w:r>
      <w:r w:rsidR="00C56DF7">
        <w:rPr>
          <w:rFonts w:asciiTheme="majorHAnsi" w:hAnsiTheme="majorHAnsi" w:cstheme="majorHAnsi"/>
          <w:i/>
          <w:sz w:val="24"/>
          <w:szCs w:val="24"/>
        </w:rPr>
        <w:t>”.</w:t>
      </w:r>
    </w:p>
    <w:p w:rsidR="00C56DF7" w:rsidRPr="00C56DF7" w:rsidP="00C56DF7">
      <w:pPr>
        <w:spacing w:before="100" w:beforeAutospacing="1"/>
        <w:contextualSpacing/>
        <w:jc w:val="both"/>
        <w:rPr>
          <w:rFonts w:asciiTheme="majorHAnsi" w:hAnsiTheme="majorHAnsi" w:cstheme="majorHAnsi"/>
          <w:b/>
          <w:i/>
          <w:sz w:val="24"/>
          <w:szCs w:val="24"/>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Pr="00BF47AD" w:rsidR="00BF47AD">
        <w:rPr>
          <w:rFonts w:asciiTheme="majorHAnsi" w:hAnsiTheme="majorHAnsi" w:cstheme="majorHAnsi"/>
        </w:rPr>
        <w:t>destacamos que a pressente propositura já tra</w:t>
      </w:r>
      <w:r w:rsidR="00637C5F">
        <w:rPr>
          <w:rFonts w:asciiTheme="majorHAnsi" w:hAnsiTheme="majorHAnsi" w:cstheme="majorHAnsi"/>
        </w:rPr>
        <w:t>mitou pel</w:t>
      </w:r>
      <w:r w:rsidR="00C56DF7">
        <w:rPr>
          <w:rFonts w:asciiTheme="majorHAnsi" w:hAnsiTheme="majorHAnsi" w:cstheme="majorHAnsi"/>
        </w:rPr>
        <w:t>a comissão de Justiça e Redação e</w:t>
      </w:r>
      <w:r w:rsidRPr="00BF47AD" w:rsidR="00BF47AD">
        <w:rPr>
          <w:rFonts w:asciiTheme="majorHAnsi" w:hAnsiTheme="majorHAnsi" w:cstheme="majorHAnsi"/>
        </w:rPr>
        <w:t xml:space="preserve"> de Educação, Saúde, Cultura</w:t>
      </w:r>
      <w:r w:rsidR="00637C5F">
        <w:rPr>
          <w:rFonts w:asciiTheme="majorHAnsi" w:hAnsiTheme="majorHAnsi" w:cstheme="majorHAnsi"/>
        </w:rPr>
        <w:t xml:space="preserve">, Esporte e Assistência Social </w:t>
      </w:r>
      <w:r w:rsidRPr="00BF47AD" w:rsidR="00BF47AD">
        <w:rPr>
          <w:rFonts w:asciiTheme="majorHAnsi" w:hAnsiTheme="majorHAnsi" w:cstheme="majorHAnsi"/>
        </w:rPr>
        <w:t xml:space="preserve">recebendo </w:t>
      </w:r>
      <w:r w:rsidR="00983B49">
        <w:rPr>
          <w:rFonts w:asciiTheme="majorHAnsi" w:hAnsiTheme="majorHAnsi" w:cstheme="majorHAnsi"/>
        </w:rPr>
        <w:t>Pareceres F</w:t>
      </w:r>
      <w:r w:rsidRPr="00BF47AD" w:rsidR="00BF47AD">
        <w:rPr>
          <w:rFonts w:asciiTheme="majorHAnsi" w:hAnsiTheme="majorHAnsi" w:cstheme="majorHAnsi"/>
        </w:rPr>
        <w:t>avoráveis.</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637C5F" w:rsidP="00027D0F">
      <w:pPr>
        <w:pStyle w:val="NormalWeb"/>
        <w:spacing w:after="0" w:afterAutospacing="0"/>
        <w:ind w:firstLine="720"/>
        <w:contextualSpacing/>
        <w:jc w:val="both"/>
        <w:rPr>
          <w:rFonts w:asciiTheme="majorHAnsi" w:hAnsiTheme="majorHAnsi" w:cstheme="majorHAnsi"/>
        </w:rPr>
      </w:pPr>
      <w:r>
        <w:rPr>
          <w:rFonts w:asciiTheme="majorHAnsi" w:hAnsiTheme="majorHAnsi" w:cstheme="majorHAnsi"/>
        </w:rPr>
        <w:t xml:space="preserve">O projeto visa </w:t>
      </w:r>
      <w:r w:rsidR="00620B91">
        <w:rPr>
          <w:rFonts w:asciiTheme="majorHAnsi" w:hAnsiTheme="majorHAnsi" w:cstheme="majorHAnsi"/>
        </w:rPr>
        <w:t>instituir o Programa de Vizinhança Solidária no município de Mogi Mirim, com o objetivo de diminuir a criminalidade no município e promover a integração social entre os vizinhos.</w:t>
      </w:r>
    </w:p>
    <w:p w:rsidR="00620B91" w:rsidP="00027D0F">
      <w:pPr>
        <w:pStyle w:val="NormalWeb"/>
        <w:spacing w:after="0" w:afterAutospacing="0"/>
        <w:ind w:firstLine="720"/>
        <w:contextualSpacing/>
        <w:jc w:val="both"/>
        <w:rPr>
          <w:rFonts w:asciiTheme="majorHAnsi" w:hAnsiTheme="majorHAnsi" w:cstheme="majorHAnsi"/>
        </w:rPr>
      </w:pPr>
    </w:p>
    <w:p w:rsidR="00B33FF5" w:rsidP="008E6358">
      <w:pPr>
        <w:pStyle w:val="NormalWeb"/>
        <w:spacing w:after="0" w:afterAutospacing="0"/>
        <w:contextualSpacing/>
        <w:jc w:val="both"/>
        <w:rPr>
          <w:rFonts w:asciiTheme="majorHAnsi" w:hAnsiTheme="majorHAnsi" w:cstheme="majorHAnsi"/>
        </w:rPr>
      </w:pPr>
      <w:r w:rsidRPr="002C0A99">
        <w:rPr>
          <w:rFonts w:asciiTheme="majorHAnsi" w:hAnsiTheme="majorHAnsi" w:cstheme="majorHAnsi"/>
        </w:rPr>
        <w:t xml:space="preserve">              </w:t>
      </w:r>
      <w:r w:rsidRPr="002C0A99" w:rsidR="00027D0F">
        <w:rPr>
          <w:rFonts w:asciiTheme="majorHAnsi" w:hAnsiTheme="majorHAnsi" w:cstheme="majorHAnsi"/>
        </w:rPr>
        <w:t>Do ponto de vista orçamentário e financeiro, o projeto</w:t>
      </w:r>
      <w:r w:rsidRPr="002C0A99" w:rsidR="00027D0F">
        <w:rPr>
          <w:rFonts w:asciiTheme="majorHAnsi" w:hAnsiTheme="majorHAnsi" w:cstheme="majorHAnsi"/>
          <w:b/>
        </w:rPr>
        <w:t xml:space="preserve"> </w:t>
      </w:r>
      <w:r w:rsidRPr="002C0A99" w:rsidR="00027D0F">
        <w:rPr>
          <w:rStyle w:val="Strong"/>
          <w:rFonts w:asciiTheme="majorHAnsi" w:hAnsiTheme="majorHAnsi" w:cstheme="majorHAnsi"/>
          <w:b w:val="0"/>
        </w:rPr>
        <w:t>não impõe obrigações diretas ao orçamento municipal</w:t>
      </w:r>
      <w:r w:rsidRPr="002C0A99" w:rsidR="00027D0F">
        <w:rPr>
          <w:rFonts w:asciiTheme="majorHAnsi" w:hAnsiTheme="majorHAnsi" w:cstheme="majorHAnsi"/>
        </w:rPr>
        <w:t xml:space="preserve">, </w:t>
      </w:r>
      <w:r w:rsidR="00620B91">
        <w:rPr>
          <w:rFonts w:asciiTheme="majorHAnsi" w:hAnsiTheme="majorHAnsi" w:cstheme="majorHAnsi"/>
        </w:rPr>
        <w:t>mas possibilita ações futuras que podem vir a gerar custos</w:t>
      </w:r>
      <w:r w:rsidRPr="002C0A99" w:rsidR="00027D0F">
        <w:rPr>
          <w:rFonts w:asciiTheme="majorHAnsi" w:hAnsiTheme="majorHAnsi" w:cstheme="majorHAnsi"/>
        </w:rPr>
        <w:t xml:space="preserve">. </w:t>
      </w:r>
      <w:r w:rsidRPr="00620B91" w:rsidR="00620B91">
        <w:rPr>
          <w:rFonts w:asciiTheme="majorHAnsi" w:hAnsiTheme="majorHAnsi" w:cstheme="majorHAnsi"/>
        </w:rPr>
        <w:t xml:space="preserve">Ainda que mencione iniciativas como capacitações, placas, instalação de câmeras e campanhas educativas, </w:t>
      </w:r>
      <w:r w:rsidRPr="00620B91" w:rsidR="00620B91">
        <w:rPr>
          <w:rStyle w:val="Strong"/>
          <w:rFonts w:asciiTheme="majorHAnsi" w:hAnsiTheme="majorHAnsi" w:cstheme="majorHAnsi"/>
          <w:b w:val="0"/>
        </w:rPr>
        <w:t xml:space="preserve">não </w:t>
      </w:r>
      <w:r w:rsidR="002F748B">
        <w:rPr>
          <w:rStyle w:val="Strong"/>
          <w:rFonts w:asciiTheme="majorHAnsi" w:hAnsiTheme="majorHAnsi" w:cstheme="majorHAnsi"/>
          <w:b w:val="0"/>
        </w:rPr>
        <w:t>obriga sua execução</w:t>
      </w:r>
      <w:r w:rsidRPr="00620B91" w:rsidR="00620B91">
        <w:rPr>
          <w:rFonts w:asciiTheme="majorHAnsi" w:hAnsiTheme="majorHAnsi" w:cstheme="majorHAnsi"/>
        </w:rPr>
        <w:t xml:space="preserve">, nem previsão de valores ou criação de encargos permanentes. </w:t>
      </w:r>
      <w:r>
        <w:rPr>
          <w:rFonts w:asciiTheme="majorHAnsi" w:hAnsiTheme="majorHAnsi" w:cstheme="majorHAnsi"/>
        </w:rPr>
        <w:t>Além disso, o p</w:t>
      </w:r>
      <w:r w:rsidR="00620B91">
        <w:rPr>
          <w:rFonts w:asciiTheme="majorHAnsi" w:hAnsiTheme="majorHAnsi" w:cstheme="majorHAnsi"/>
        </w:rPr>
        <w:t>rojeto cita</w:t>
      </w:r>
      <w:r w:rsidR="00114A6E">
        <w:rPr>
          <w:rFonts w:asciiTheme="majorHAnsi" w:hAnsiTheme="majorHAnsi" w:cstheme="majorHAnsi"/>
        </w:rPr>
        <w:t xml:space="preserve"> como alternativa, a possibilidade de</w:t>
      </w:r>
      <w:r w:rsidR="00620B91">
        <w:rPr>
          <w:rFonts w:asciiTheme="majorHAnsi" w:hAnsiTheme="majorHAnsi" w:cstheme="majorHAnsi"/>
        </w:rPr>
        <w:t xml:space="preserve"> criação de um Fundo Municipal de Segurança Comunitária para apoiar projetos e iniciativas voltadas para a integração entre vizinhos e a segurança pública</w:t>
      </w:r>
      <w:r>
        <w:rPr>
          <w:rFonts w:asciiTheme="majorHAnsi" w:hAnsiTheme="majorHAnsi" w:cstheme="majorHAnsi"/>
        </w:rPr>
        <w:t>.</w:t>
      </w:r>
    </w:p>
    <w:p w:rsidR="00B33FF5" w:rsidRPr="008E6358" w:rsidP="008E6358">
      <w:pPr>
        <w:pStyle w:val="NormalWeb"/>
        <w:spacing w:after="0" w:afterAutospacing="0"/>
        <w:contextualSpacing/>
        <w:jc w:val="both"/>
        <w:rPr>
          <w:rFonts w:asciiTheme="majorHAnsi" w:hAnsiTheme="majorHAnsi" w:cstheme="majorHAnsi"/>
        </w:rPr>
      </w:pPr>
    </w:p>
    <w:p w:rsidR="00D677F3" w:rsidP="00BF47AD">
      <w:pPr>
        <w:pStyle w:val="NormalWeb"/>
        <w:spacing w:after="0" w:afterAutospacing="0"/>
        <w:ind w:firstLine="720"/>
        <w:contextualSpacing/>
        <w:jc w:val="both"/>
        <w:rPr>
          <w:rFonts w:asciiTheme="majorHAnsi" w:hAnsiTheme="majorHAnsi" w:cstheme="majorHAnsi"/>
        </w:rPr>
      </w:pPr>
      <w:r w:rsidRPr="00BF47AD">
        <w:rPr>
          <w:rFonts w:asciiTheme="majorHAnsi" w:hAnsiTheme="majorHAnsi" w:cstheme="majorHAnsi"/>
        </w:rPr>
        <w:t>Em contrapartida,</w:t>
      </w:r>
      <w:r w:rsidR="00C076DE">
        <w:rPr>
          <w:rFonts w:asciiTheme="majorHAnsi" w:hAnsiTheme="majorHAnsi" w:cstheme="majorHAnsi"/>
        </w:rPr>
        <w:t xml:space="preserve"> é</w:t>
      </w:r>
      <w:r w:rsidRPr="00BF47AD">
        <w:rPr>
          <w:rFonts w:asciiTheme="majorHAnsi" w:hAnsiTheme="majorHAnsi" w:cstheme="majorHAnsi"/>
        </w:rPr>
        <w:t xml:space="preserve"> conveniente lembrar que o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w:t>
      </w:r>
      <w:r w:rsidRPr="00BF47AD" w:rsidR="00AE4353">
        <w:rPr>
          <w:rFonts w:asciiTheme="majorHAnsi" w:hAnsiTheme="majorHAnsi" w:cstheme="majorHAnsi"/>
        </w:rPr>
        <w:t>deflagrar</w:t>
      </w:r>
      <w:r w:rsidRPr="00BF47AD">
        <w:rPr>
          <w:rFonts w:asciiTheme="majorHAnsi" w:hAnsiTheme="majorHAnsi" w:cstheme="majorHAnsi"/>
        </w:rPr>
        <w:t xml:space="preserve"> processo legislativo, de modo concorrente nestes casos, entretanto, ficará a cargo do poder discricionário do Executivo, observando sua programação orçamentária e conveniência, a execução da referida Lei.</w:t>
      </w:r>
    </w:p>
    <w:p w:rsidR="00BF47AD" w:rsidRPr="00D677F3" w:rsidP="00D677F3">
      <w:pPr>
        <w:pStyle w:val="NormalWeb"/>
        <w:spacing w:after="0" w:afterAutospacing="0"/>
        <w:contextualSpacing/>
        <w:jc w:val="both"/>
        <w:rPr>
          <w:rFonts w:asciiTheme="majorHAnsi" w:hAnsiTheme="majorHAnsi" w:cstheme="majorHAnsi"/>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Diante de todo exposto, não se identifica óbice para a sua regular tramitação e aprovação por esta Casa Legislativa.</w:t>
      </w:r>
    </w:p>
    <w:p w:rsidR="009D4F58"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w:t>
      </w:r>
      <w:r w:rsidR="00637C5F">
        <w:rPr>
          <w:rFonts w:asciiTheme="majorHAnsi" w:hAnsiTheme="majorHAnsi" w:cstheme="majorHAnsi"/>
        </w:rPr>
        <w:t xml:space="preserve"> em cima </w:t>
      </w:r>
      <w:r w:rsidR="004A4450">
        <w:rPr>
          <w:rFonts w:asciiTheme="majorHAnsi" w:hAnsiTheme="majorHAnsi" w:cstheme="majorHAnsi"/>
        </w:rPr>
        <w:t>do Projeto de Lei Nº 62</w:t>
      </w:r>
      <w:r w:rsidRPr="00D677F3">
        <w:rPr>
          <w:rFonts w:asciiTheme="majorHAnsi" w:hAnsiTheme="majorHAnsi" w:cstheme="majorHAnsi"/>
        </w:rPr>
        <w:t>/2025</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D677F3" w:rsidP="00D677F3">
      <w:pPr>
        <w:pStyle w:val="NormalWeb"/>
        <w:spacing w:after="0" w:afterAutospacing="0"/>
        <w:contextualSpacing/>
        <w:jc w:val="both"/>
        <w:rPr>
          <w:rFonts w:asciiTheme="majorHAnsi" w:hAnsiTheme="majorHAnsi" w:cstheme="majorHAnsi"/>
        </w:rPr>
      </w:pPr>
    </w:p>
    <w:p w:rsidR="00D677F3"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6B31CF" w:rsidRPr="00D677F3" w:rsidP="00D677F3">
      <w:pPr>
        <w:pStyle w:val="NormalWeb"/>
        <w:spacing w:after="0" w:afterAutospacing="0"/>
        <w:contextualSpacing/>
        <w:jc w:val="both"/>
        <w:rPr>
          <w:rFonts w:asciiTheme="majorHAnsi" w:hAnsiTheme="majorHAnsi" w:cstheme="majorHAnsi"/>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20</w:t>
      </w:r>
      <w:r w:rsidR="00637C5F">
        <w:rPr>
          <w:rFonts w:asciiTheme="majorHAnsi" w:hAnsiTheme="majorHAnsi" w:cstheme="majorHAnsi"/>
        </w:rPr>
        <w:t xml:space="preserve"> de </w:t>
      </w:r>
      <w:r w:rsidR="004A4450">
        <w:rPr>
          <w:rFonts w:asciiTheme="majorHAnsi" w:hAnsiTheme="majorHAnsi" w:cstheme="majorHAnsi"/>
        </w:rPr>
        <w:t>agosto</w:t>
      </w:r>
      <w:r w:rsidRPr="00D677F3" w:rsidR="006B31CF">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rPr>
      </w:pPr>
    </w:p>
    <w:p w:rsidR="00D75C8D"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B33FF5" w:rsidP="004A4450">
      <w:pPr>
        <w:rPr>
          <w:rFonts w:asciiTheme="majorHAnsi" w:hAnsiTheme="majorHAnsi" w:cstheme="majorHAnsi"/>
          <w:b/>
          <w:sz w:val="24"/>
          <w:szCs w:val="24"/>
        </w:rPr>
      </w:pPr>
    </w:p>
    <w:p w:rsidR="006B31CF" w:rsidRPr="008E6358" w:rsidP="002F748B">
      <w:pPr>
        <w:jc w:val="center"/>
        <w:rPr>
          <w:rFonts w:asciiTheme="majorHAnsi" w:hAnsiTheme="majorHAnsi" w:cstheme="majorHAnsi"/>
          <w:b/>
          <w:bCs/>
          <w:sz w:val="24"/>
          <w:szCs w:val="24"/>
        </w:rPr>
      </w:pPr>
      <w:r w:rsidRPr="008E6358">
        <w:rPr>
          <w:rFonts w:asciiTheme="majorHAnsi" w:hAnsiTheme="majorHAnsi" w:cstheme="majorHAnsi"/>
          <w:b/>
          <w:sz w:val="24"/>
          <w:szCs w:val="24"/>
        </w:rPr>
        <w:t>PARECER FAVORÁVEL DA COMISSÃO DE FINANÇAS E ORÇAMENTO.</w:t>
      </w:r>
    </w:p>
    <w:p w:rsidR="00D75C8D" w:rsidRPr="00D677F3" w:rsidP="00D677F3">
      <w:pPr>
        <w:pStyle w:val="NormalWeb"/>
        <w:spacing w:after="0" w:afterAutospacing="0"/>
        <w:contextualSpacing/>
        <w:jc w:val="center"/>
        <w:rPr>
          <w:rFonts w:asciiTheme="majorHAnsi" w:hAnsiTheme="majorHAnsi" w:cstheme="majorHAnsi"/>
          <w:b/>
        </w:rPr>
      </w:pP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2F748B">
        <w:rPr>
          <w:rFonts w:asciiTheme="majorHAnsi" w:hAnsiTheme="majorHAnsi" w:cstheme="majorHAnsi"/>
        </w:rPr>
        <w:t>20</w:t>
      </w:r>
      <w:bookmarkStart w:id="0" w:name="_GoBack"/>
      <w:bookmarkEnd w:id="0"/>
      <w:r w:rsidR="00637C5F">
        <w:rPr>
          <w:rFonts w:asciiTheme="majorHAnsi" w:hAnsiTheme="majorHAnsi" w:cstheme="majorHAnsi"/>
        </w:rPr>
        <w:t xml:space="preserve"> de </w:t>
      </w:r>
      <w:r w:rsidR="004A4450">
        <w:rPr>
          <w:rFonts w:asciiTheme="majorHAnsi" w:hAnsiTheme="majorHAnsi" w:cstheme="majorHAnsi"/>
        </w:rPr>
        <w:t>agost</w:t>
      </w:r>
      <w:r w:rsidRPr="00D677F3">
        <w:rPr>
          <w:rFonts w:asciiTheme="majorHAnsi" w:hAnsiTheme="majorHAnsi" w:cstheme="majorHAnsi"/>
        </w:rPr>
        <w:t>o de 2025.</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6B31CF" w:rsidRPr="00D677F3"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55"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32B7E"/>
    <w:multiLevelType w:val="multilevel"/>
    <w:tmpl w:val="84F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
  </w:num>
  <w:num w:numId="4">
    <w:abstractNumId w:val="10"/>
  </w:num>
  <w:num w:numId="5">
    <w:abstractNumId w:val="20"/>
  </w:num>
  <w:num w:numId="6">
    <w:abstractNumId w:val="22"/>
  </w:num>
  <w:num w:numId="7">
    <w:abstractNumId w:val="4"/>
  </w:num>
  <w:num w:numId="8">
    <w:abstractNumId w:val="12"/>
  </w:num>
  <w:num w:numId="9">
    <w:abstractNumId w:val="9"/>
  </w:num>
  <w:num w:numId="10">
    <w:abstractNumId w:val="8"/>
  </w:num>
  <w:num w:numId="11">
    <w:abstractNumId w:val="6"/>
  </w:num>
  <w:num w:numId="12">
    <w:abstractNumId w:val="15"/>
  </w:num>
  <w:num w:numId="13">
    <w:abstractNumId w:val="0"/>
  </w:num>
  <w:num w:numId="14">
    <w:abstractNumId w:val="3"/>
  </w:num>
  <w:num w:numId="15">
    <w:abstractNumId w:val="19"/>
  </w:num>
  <w:num w:numId="16">
    <w:abstractNumId w:val="13"/>
  </w:num>
  <w:num w:numId="17">
    <w:abstractNumId w:val="18"/>
  </w:num>
  <w:num w:numId="18">
    <w:abstractNumId w:val="5"/>
  </w:num>
  <w:num w:numId="19">
    <w:abstractNumId w:val="2"/>
  </w:num>
  <w:num w:numId="20">
    <w:abstractNumId w:val="17"/>
  </w:num>
  <w:num w:numId="21">
    <w:abstractNumId w:val="16"/>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7531"/>
    <w:rsid w:val="00041A2D"/>
    <w:rsid w:val="00057A9B"/>
    <w:rsid w:val="00064FC8"/>
    <w:rsid w:val="00070FE7"/>
    <w:rsid w:val="00071EF2"/>
    <w:rsid w:val="00072EB5"/>
    <w:rsid w:val="0008150E"/>
    <w:rsid w:val="00092E53"/>
    <w:rsid w:val="00096F36"/>
    <w:rsid w:val="000A1BE0"/>
    <w:rsid w:val="000A732D"/>
    <w:rsid w:val="000B1C6D"/>
    <w:rsid w:val="000F4933"/>
    <w:rsid w:val="00114A6E"/>
    <w:rsid w:val="00126AE5"/>
    <w:rsid w:val="0015590E"/>
    <w:rsid w:val="00181506"/>
    <w:rsid w:val="00187FC6"/>
    <w:rsid w:val="001902E0"/>
    <w:rsid w:val="00192536"/>
    <w:rsid w:val="001A3CE4"/>
    <w:rsid w:val="001B7303"/>
    <w:rsid w:val="0020165D"/>
    <w:rsid w:val="0020584A"/>
    <w:rsid w:val="00213987"/>
    <w:rsid w:val="00227E2C"/>
    <w:rsid w:val="00234376"/>
    <w:rsid w:val="00297379"/>
    <w:rsid w:val="002A2BD3"/>
    <w:rsid w:val="002A648D"/>
    <w:rsid w:val="002B5A45"/>
    <w:rsid w:val="002B71AC"/>
    <w:rsid w:val="002C0A99"/>
    <w:rsid w:val="002E3052"/>
    <w:rsid w:val="002F3157"/>
    <w:rsid w:val="002F589A"/>
    <w:rsid w:val="002F748B"/>
    <w:rsid w:val="003121C8"/>
    <w:rsid w:val="00314B47"/>
    <w:rsid w:val="003200AF"/>
    <w:rsid w:val="00322469"/>
    <w:rsid w:val="00346786"/>
    <w:rsid w:val="00371A69"/>
    <w:rsid w:val="0038129E"/>
    <w:rsid w:val="00381C00"/>
    <w:rsid w:val="003A2ADE"/>
    <w:rsid w:val="003A5737"/>
    <w:rsid w:val="003A796B"/>
    <w:rsid w:val="003B1A59"/>
    <w:rsid w:val="003C6BCB"/>
    <w:rsid w:val="003D6D21"/>
    <w:rsid w:val="003E5A51"/>
    <w:rsid w:val="003E60A2"/>
    <w:rsid w:val="003F0B47"/>
    <w:rsid w:val="003F64A5"/>
    <w:rsid w:val="00405098"/>
    <w:rsid w:val="00423EBB"/>
    <w:rsid w:val="00446FA1"/>
    <w:rsid w:val="004557B8"/>
    <w:rsid w:val="00456770"/>
    <w:rsid w:val="00472595"/>
    <w:rsid w:val="00493896"/>
    <w:rsid w:val="004A4450"/>
    <w:rsid w:val="004B3FD2"/>
    <w:rsid w:val="004B6FDF"/>
    <w:rsid w:val="004C0017"/>
    <w:rsid w:val="004C076A"/>
    <w:rsid w:val="004D46DA"/>
    <w:rsid w:val="004E6092"/>
    <w:rsid w:val="0052398A"/>
    <w:rsid w:val="005242B1"/>
    <w:rsid w:val="00524D00"/>
    <w:rsid w:val="00543E03"/>
    <w:rsid w:val="005559D9"/>
    <w:rsid w:val="0055728D"/>
    <w:rsid w:val="0057515A"/>
    <w:rsid w:val="0059215B"/>
    <w:rsid w:val="005A235E"/>
    <w:rsid w:val="005B27A9"/>
    <w:rsid w:val="005B5D7B"/>
    <w:rsid w:val="005B766F"/>
    <w:rsid w:val="005D21C6"/>
    <w:rsid w:val="005E491E"/>
    <w:rsid w:val="005F2654"/>
    <w:rsid w:val="005F4E55"/>
    <w:rsid w:val="005F54DA"/>
    <w:rsid w:val="00607589"/>
    <w:rsid w:val="006134E3"/>
    <w:rsid w:val="00613747"/>
    <w:rsid w:val="00620B91"/>
    <w:rsid w:val="006231B8"/>
    <w:rsid w:val="006231BE"/>
    <w:rsid w:val="00637C5F"/>
    <w:rsid w:val="00670C69"/>
    <w:rsid w:val="006834FE"/>
    <w:rsid w:val="00697874"/>
    <w:rsid w:val="006A54A9"/>
    <w:rsid w:val="006A762A"/>
    <w:rsid w:val="006B31CF"/>
    <w:rsid w:val="006D1946"/>
    <w:rsid w:val="006E14A1"/>
    <w:rsid w:val="006F48DD"/>
    <w:rsid w:val="007038AD"/>
    <w:rsid w:val="00741F3B"/>
    <w:rsid w:val="00753ABE"/>
    <w:rsid w:val="007556D8"/>
    <w:rsid w:val="0078178E"/>
    <w:rsid w:val="00783794"/>
    <w:rsid w:val="00784CD4"/>
    <w:rsid w:val="00785E1B"/>
    <w:rsid w:val="007911EF"/>
    <w:rsid w:val="007A08D1"/>
    <w:rsid w:val="007B6058"/>
    <w:rsid w:val="007C6029"/>
    <w:rsid w:val="00804434"/>
    <w:rsid w:val="0081335D"/>
    <w:rsid w:val="00842408"/>
    <w:rsid w:val="00855DD2"/>
    <w:rsid w:val="008641BE"/>
    <w:rsid w:val="00864928"/>
    <w:rsid w:val="0086613A"/>
    <w:rsid w:val="008677CB"/>
    <w:rsid w:val="00881E60"/>
    <w:rsid w:val="0088465F"/>
    <w:rsid w:val="008905C2"/>
    <w:rsid w:val="008A537A"/>
    <w:rsid w:val="008C08C5"/>
    <w:rsid w:val="008C125D"/>
    <w:rsid w:val="008C4AA2"/>
    <w:rsid w:val="008E6358"/>
    <w:rsid w:val="008F67DA"/>
    <w:rsid w:val="00902EE1"/>
    <w:rsid w:val="009048A2"/>
    <w:rsid w:val="00904ADF"/>
    <w:rsid w:val="00914ADC"/>
    <w:rsid w:val="00920A3F"/>
    <w:rsid w:val="00925E1A"/>
    <w:rsid w:val="0098102A"/>
    <w:rsid w:val="00983B49"/>
    <w:rsid w:val="009D4F58"/>
    <w:rsid w:val="009D56B8"/>
    <w:rsid w:val="009D6B7C"/>
    <w:rsid w:val="00A00E3E"/>
    <w:rsid w:val="00A12DD9"/>
    <w:rsid w:val="00A14E63"/>
    <w:rsid w:val="00A164DC"/>
    <w:rsid w:val="00A23604"/>
    <w:rsid w:val="00A2712E"/>
    <w:rsid w:val="00A27446"/>
    <w:rsid w:val="00A672C0"/>
    <w:rsid w:val="00A92E38"/>
    <w:rsid w:val="00AD2770"/>
    <w:rsid w:val="00AE4353"/>
    <w:rsid w:val="00AE5858"/>
    <w:rsid w:val="00AF0C05"/>
    <w:rsid w:val="00AF3296"/>
    <w:rsid w:val="00AF4AC7"/>
    <w:rsid w:val="00B33FF5"/>
    <w:rsid w:val="00B45642"/>
    <w:rsid w:val="00B57090"/>
    <w:rsid w:val="00BA48C7"/>
    <w:rsid w:val="00BE41D6"/>
    <w:rsid w:val="00BE68FF"/>
    <w:rsid w:val="00BE6938"/>
    <w:rsid w:val="00BF2A6F"/>
    <w:rsid w:val="00BF47AD"/>
    <w:rsid w:val="00C00566"/>
    <w:rsid w:val="00C076DE"/>
    <w:rsid w:val="00C10154"/>
    <w:rsid w:val="00C31C89"/>
    <w:rsid w:val="00C56DF7"/>
    <w:rsid w:val="00C74E3F"/>
    <w:rsid w:val="00C75973"/>
    <w:rsid w:val="00CA4349"/>
    <w:rsid w:val="00CC230E"/>
    <w:rsid w:val="00CC3E72"/>
    <w:rsid w:val="00CF288D"/>
    <w:rsid w:val="00D233F3"/>
    <w:rsid w:val="00D33D19"/>
    <w:rsid w:val="00D52DAE"/>
    <w:rsid w:val="00D543E6"/>
    <w:rsid w:val="00D635A7"/>
    <w:rsid w:val="00D66197"/>
    <w:rsid w:val="00D677F3"/>
    <w:rsid w:val="00D735E2"/>
    <w:rsid w:val="00D75C8D"/>
    <w:rsid w:val="00D80A2E"/>
    <w:rsid w:val="00D81BDB"/>
    <w:rsid w:val="00D85ED2"/>
    <w:rsid w:val="00D9258F"/>
    <w:rsid w:val="00DA7AB4"/>
    <w:rsid w:val="00DC32F0"/>
    <w:rsid w:val="00DD7EAE"/>
    <w:rsid w:val="00DE2A9A"/>
    <w:rsid w:val="00DF605F"/>
    <w:rsid w:val="00E11ECC"/>
    <w:rsid w:val="00E3543A"/>
    <w:rsid w:val="00E471F3"/>
    <w:rsid w:val="00E57571"/>
    <w:rsid w:val="00E57668"/>
    <w:rsid w:val="00E7438B"/>
    <w:rsid w:val="00E978F5"/>
    <w:rsid w:val="00EA0447"/>
    <w:rsid w:val="00EA375D"/>
    <w:rsid w:val="00EA4E83"/>
    <w:rsid w:val="00EB1570"/>
    <w:rsid w:val="00EB3C9A"/>
    <w:rsid w:val="00EC5677"/>
    <w:rsid w:val="00ED7D93"/>
    <w:rsid w:val="00EE457C"/>
    <w:rsid w:val="00EF4DE4"/>
    <w:rsid w:val="00EF630E"/>
    <w:rsid w:val="00F00F78"/>
    <w:rsid w:val="00F10F57"/>
    <w:rsid w:val="00F13148"/>
    <w:rsid w:val="00F21F60"/>
    <w:rsid w:val="00F304D4"/>
    <w:rsid w:val="00F42F8D"/>
    <w:rsid w:val="00F55E24"/>
    <w:rsid w:val="00F6470D"/>
    <w:rsid w:val="00F733EC"/>
    <w:rsid w:val="00F74441"/>
    <w:rsid w:val="00F81655"/>
    <w:rsid w:val="00F83282"/>
    <w:rsid w:val="00F91A1F"/>
    <w:rsid w:val="00F921DB"/>
    <w:rsid w:val="00FA65BC"/>
    <w:rsid w:val="00FB12A6"/>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85285-7328-403D-BFCD-A582A274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4324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2</cp:revision>
  <cp:lastPrinted>2025-02-18T14:53:00Z</cp:lastPrinted>
  <dcterms:created xsi:type="dcterms:W3CDTF">2025-08-20T14:17:00Z</dcterms:created>
  <dcterms:modified xsi:type="dcterms:W3CDTF">2025-08-20T14:17:00Z</dcterms:modified>
</cp:coreProperties>
</file>