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0C5398" w:rsidP="000C5398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5242B1" w:rsidRPr="000C5398" w:rsidP="000C5398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</w:p>
    <w:p w:rsidR="005242B1" w:rsidRPr="000C5398" w:rsidP="000C5398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22469" w:rsidRPr="000C5398" w:rsidP="000C5398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0C5398">
        <w:rPr>
          <w:b/>
          <w:sz w:val="24"/>
          <w:szCs w:val="24"/>
        </w:rPr>
        <w:t>RELATÓRIO</w:t>
      </w:r>
    </w:p>
    <w:p w:rsidR="00322469" w:rsidRPr="000C5398" w:rsidP="000C5398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0C5398" w:rsidP="000C5398" w14:paraId="294093BC" w14:textId="1F494494">
      <w:pPr>
        <w:pStyle w:val="NormalWeb"/>
        <w:spacing w:line="360" w:lineRule="auto"/>
      </w:pPr>
      <w:r w:rsidRPr="000C5398">
        <w:rPr>
          <w:rStyle w:val="Strong"/>
        </w:rPr>
        <w:t>PROJETO DE LEI Nº 99</w:t>
      </w:r>
      <w:r w:rsidRPr="000C5398" w:rsidR="00F74441">
        <w:rPr>
          <w:rStyle w:val="Strong"/>
        </w:rPr>
        <w:t xml:space="preserve"> DE 2025</w:t>
      </w:r>
    </w:p>
    <w:p w:rsidR="00E62CDF" w:rsidRPr="000C5398" w:rsidP="000C5398" w14:paraId="0194469A" w14:textId="59BF5012">
      <w:pPr>
        <w:pStyle w:val="NormalWeb"/>
        <w:spacing w:line="360" w:lineRule="auto"/>
        <w:rPr>
          <w:rStyle w:val="Emphasis"/>
        </w:rPr>
      </w:pPr>
      <w:r w:rsidRPr="000C5398">
        <w:rPr>
          <w:rStyle w:val="Emphasis"/>
        </w:rPr>
        <w:t xml:space="preserve">Autoriza o Município de Mogi Mirim, pelo Poder Executivo, a celebrar Convênio com Estado de São Paulo, por intermédio da Secretaria da Cultura, Economia e Indústria Criativas do Estado, para o fim que especifica. </w:t>
      </w:r>
    </w:p>
    <w:p w:rsidR="00F74441" w:rsidRPr="000C5398" w:rsidP="000C5398" w14:paraId="1D42C3C2" w14:textId="057CC975">
      <w:pPr>
        <w:pStyle w:val="NormalWeb"/>
        <w:spacing w:line="360" w:lineRule="auto"/>
      </w:pPr>
      <w:r w:rsidRPr="000C5398">
        <w:rPr>
          <w:rStyle w:val="Strong"/>
        </w:rPr>
        <w:t xml:space="preserve">RELATOR: VEREADOR </w:t>
      </w:r>
      <w:r w:rsidRPr="000C5398" w:rsidR="00DE722D">
        <w:rPr>
          <w:rStyle w:val="Strong"/>
        </w:rPr>
        <w:t>JOÃO VICTOR GASPARINI</w:t>
      </w:r>
    </w:p>
    <w:p w:rsidR="00F74441" w:rsidRPr="000C5398" w:rsidP="000C5398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0C5398" w:rsidP="000C5398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C5398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DE722D" w:rsidRPr="000C5398" w:rsidP="000C5398" w14:paraId="2CBC567F" w14:textId="3C1782AD">
      <w:pPr>
        <w:pStyle w:val="NormalWeb"/>
        <w:spacing w:line="360" w:lineRule="auto"/>
        <w:jc w:val="both"/>
      </w:pPr>
      <w:r w:rsidRPr="000C5398">
        <w:tab/>
      </w:r>
      <w:r w:rsidRPr="000C5398">
        <w:t xml:space="preserve"> O </w:t>
      </w:r>
      <w:r w:rsidRPr="000C5398">
        <w:rPr>
          <w:rStyle w:val="Strong"/>
        </w:rPr>
        <w:t>Projeto de Lei nº 99/2025</w:t>
      </w:r>
      <w:r w:rsidRPr="000C5398">
        <w:t xml:space="preserve"> autoriza o Chefe do Executivo a celebrar convênio com o Estado de São Paulo (Secretaria da Cultura, Economia e Indústria Criativas), visando à realização da </w:t>
      </w:r>
      <w:r w:rsidRPr="000C5398">
        <w:rPr>
          <w:rStyle w:val="Strong"/>
        </w:rPr>
        <w:t>“Feira Literária Joaquim Firmino de Araújo Cunha”</w:t>
      </w:r>
      <w:r w:rsidRPr="000C5398">
        <w:t>. O texto legal contém três artigos. Destacam-se:</w:t>
      </w:r>
    </w:p>
    <w:p w:rsidR="00DE722D" w:rsidRPr="000C5398" w:rsidP="000C5398" w14:paraId="504EFF75" w14:textId="74930F99">
      <w:pPr>
        <w:pStyle w:val="NormalWeb"/>
        <w:numPr>
          <w:ilvl w:val="0"/>
          <w:numId w:val="16"/>
        </w:numPr>
        <w:spacing w:line="360" w:lineRule="auto"/>
        <w:jc w:val="both"/>
      </w:pPr>
      <w:r w:rsidRPr="000C5398">
        <w:rPr>
          <w:rStyle w:val="Strong"/>
        </w:rPr>
        <w:t>Art. 1º:</w:t>
      </w:r>
      <w:r w:rsidRPr="000C5398">
        <w:t xml:space="preserve"> “Fica o Chefe do Executivo Municipal, </w:t>
      </w:r>
      <w:r w:rsidRPr="000C5398">
        <w:rPr>
          <w:rStyle w:val="Strong"/>
        </w:rPr>
        <w:t>autorizado a celebrar Convênio</w:t>
      </w:r>
      <w:r w:rsidRPr="000C5398">
        <w:t xml:space="preserve"> com o Estado de São Paulo, por intermédio da Secretaria da Cultura, Economia e Indústria Criativas, </w:t>
      </w:r>
      <w:r w:rsidRPr="000C5398">
        <w:rPr>
          <w:rStyle w:val="Strong"/>
        </w:rPr>
        <w:t>objetivando realizar a Feira Literária ‘Joaquim Firmino de Araújo Cunha</w:t>
      </w:r>
      <w:r w:rsidRPr="000C5398" w:rsidR="000C5398">
        <w:rPr>
          <w:rStyle w:val="Strong"/>
        </w:rPr>
        <w:t>’</w:t>
      </w:r>
      <w:r w:rsidRPr="000C5398" w:rsidR="000C5398">
        <w:t>.”</w:t>
      </w:r>
    </w:p>
    <w:p w:rsidR="00DE722D" w:rsidRPr="000C5398" w:rsidP="000C5398" w14:paraId="01AB03A0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0C5398">
        <w:rPr>
          <w:rStyle w:val="Strong"/>
        </w:rPr>
        <w:t>Art. 2º:</w:t>
      </w:r>
      <w:r w:rsidRPr="000C5398">
        <w:t xml:space="preserve"> “</w:t>
      </w:r>
      <w:r w:rsidRPr="000C5398">
        <w:rPr>
          <w:rStyle w:val="Strong"/>
        </w:rPr>
        <w:t>Os encargos que a Prefeitura vier a assumir</w:t>
      </w:r>
      <w:r w:rsidRPr="000C5398">
        <w:t xml:space="preserve"> em razão da execução do acordo </w:t>
      </w:r>
      <w:r w:rsidRPr="000C5398">
        <w:rPr>
          <w:rStyle w:val="Strong"/>
        </w:rPr>
        <w:t>correrão por conta de verbas próprias</w:t>
      </w:r>
      <w:r w:rsidRPr="000C5398">
        <w:t xml:space="preserve"> constantes no orçamento vigente, </w:t>
      </w:r>
      <w:r w:rsidRPr="000C5398">
        <w:rPr>
          <w:rStyle w:val="Strong"/>
        </w:rPr>
        <w:t xml:space="preserve">suplementadas mediante Decreto Executivo, se </w:t>
      </w:r>
      <w:r w:rsidRPr="000C5398">
        <w:rPr>
          <w:rStyle w:val="Strong"/>
        </w:rPr>
        <w:t>necessário</w:t>
      </w:r>
      <w:r w:rsidRPr="000C5398">
        <w:t>.”</w:t>
      </w:r>
    </w:p>
    <w:p w:rsidR="00DE722D" w:rsidRPr="000C5398" w:rsidP="000C5398" w14:paraId="18B6B59E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0C5398">
        <w:rPr>
          <w:rStyle w:val="Strong"/>
        </w:rPr>
        <w:t>Art. 3º:</w:t>
      </w:r>
      <w:r w:rsidRPr="000C5398">
        <w:t xml:space="preserve"> vigência na data da publicação.</w:t>
      </w:r>
    </w:p>
    <w:p w:rsidR="00DE722D" w:rsidRPr="000C5398" w:rsidP="000C5398" w14:paraId="3462337C" w14:textId="64F7E672">
      <w:pPr>
        <w:pStyle w:val="NormalWeb"/>
        <w:spacing w:line="360" w:lineRule="auto"/>
        <w:jc w:val="both"/>
      </w:pPr>
      <w:r w:rsidRPr="000C5398">
        <w:tab/>
        <w:t xml:space="preserve">Na </w:t>
      </w:r>
      <w:r w:rsidRPr="000C5398">
        <w:rPr>
          <w:rStyle w:val="Strong"/>
        </w:rPr>
        <w:t>Mensagem nº 36/2025</w:t>
      </w:r>
      <w:r w:rsidRPr="000C5398">
        <w:t xml:space="preserve">, o Executivo requereu </w:t>
      </w:r>
      <w:r w:rsidRPr="000C5398">
        <w:rPr>
          <w:rStyle w:val="Strong"/>
        </w:rPr>
        <w:t>regime de urgência</w:t>
      </w:r>
      <w:r w:rsidRPr="000C5398">
        <w:t xml:space="preserve"> (art. 54 da LOM) e informou que a parceria executa a </w:t>
      </w:r>
      <w:r w:rsidRPr="000C5398">
        <w:rPr>
          <w:rStyle w:val="Strong"/>
        </w:rPr>
        <w:t>Demanda nº 084255 (Processo SCEC-PRC-2025-00304-DM)</w:t>
      </w:r>
      <w:r w:rsidRPr="000C5398">
        <w:t xml:space="preserve">, com </w:t>
      </w:r>
      <w:r w:rsidRPr="000C5398">
        <w:rPr>
          <w:rStyle w:val="Strong"/>
        </w:rPr>
        <w:t>repasse de R$ 100.000,00</w:t>
      </w:r>
      <w:r w:rsidRPr="000C5398">
        <w:t xml:space="preserve">, </w:t>
      </w:r>
      <w:r w:rsidRPr="000C5398">
        <w:rPr>
          <w:rStyle w:val="Strong"/>
        </w:rPr>
        <w:t>“integralmente custeados pelo Estado, sem contrapartida financeira do Município”</w:t>
      </w:r>
      <w:r w:rsidRPr="000C5398">
        <w:t>, destinados à Feira Literária.</w:t>
      </w:r>
    </w:p>
    <w:p w:rsidR="00DE722D" w:rsidRPr="000C5398" w:rsidP="000C5398" w14:paraId="365DF8A9" w14:textId="70FE78A5">
      <w:pPr>
        <w:pStyle w:val="NormalWeb"/>
        <w:spacing w:line="360" w:lineRule="auto"/>
        <w:jc w:val="both"/>
      </w:pPr>
      <w:r w:rsidRPr="000C5398">
        <w:tab/>
        <w:t xml:space="preserve">O </w:t>
      </w:r>
      <w:r w:rsidRPr="000C5398">
        <w:rPr>
          <w:rStyle w:val="Strong"/>
        </w:rPr>
        <w:t>parecer jurídico externo (SGP), solicitado pelo Presidente da Comissão de Justiça e Redação, Vereador Wagner Ricardo Pereira,</w:t>
      </w:r>
      <w:r w:rsidRPr="000C5398">
        <w:t xml:space="preserve"> analisou a natureza jurídica de convênios. Concluiu que o PL 99/2025 </w:t>
      </w:r>
      <w:r w:rsidRPr="000C5398">
        <w:rPr>
          <w:rStyle w:val="Strong"/>
        </w:rPr>
        <w:t>“não possui vícios relacionados à competência legislativa e à iniciativa”</w:t>
      </w:r>
      <w:r w:rsidRPr="000C5398">
        <w:t xml:space="preserve"> e que a anuência do Legislativo é </w:t>
      </w:r>
      <w:r w:rsidRPr="000C5398">
        <w:rPr>
          <w:rStyle w:val="Strong"/>
        </w:rPr>
        <w:t>prudente</w:t>
      </w:r>
      <w:r w:rsidRPr="000C5398">
        <w:t xml:space="preserve"> na hipótese.</w:t>
      </w:r>
    </w:p>
    <w:p w:rsidR="00DE722D" w:rsidRPr="000C5398" w:rsidP="000C5398" w14:paraId="4E19325A" w14:textId="578A557D">
      <w:pPr>
        <w:pStyle w:val="NormalWeb"/>
        <w:spacing w:line="360" w:lineRule="auto"/>
        <w:jc w:val="both"/>
      </w:pPr>
      <w:r w:rsidRPr="000C5398">
        <w:tab/>
      </w:r>
      <w:r w:rsidRPr="000C5398">
        <w:t xml:space="preserve">O processo administrativo de origem traz </w:t>
      </w:r>
      <w:r w:rsidRPr="000C5398">
        <w:rPr>
          <w:rStyle w:val="Strong"/>
        </w:rPr>
        <w:t>despachos</w:t>
      </w:r>
      <w:r w:rsidRPr="000C5398">
        <w:t xml:space="preserve"> das Secretarias municipais competentes. A </w:t>
      </w:r>
      <w:r w:rsidRPr="000C5398">
        <w:rPr>
          <w:rStyle w:val="Strong"/>
        </w:rPr>
        <w:t>Secretaria de Negócios Jurídicos</w:t>
      </w:r>
      <w:r w:rsidRPr="000C5398">
        <w:t xml:space="preserve"> atestou viabilidade jurídica, recomendando a instrução com documentação estadual e o crivo de técnica legislativa; a </w:t>
      </w:r>
      <w:r w:rsidRPr="000C5398">
        <w:rPr>
          <w:rStyle w:val="Strong"/>
        </w:rPr>
        <w:t>Cultura e Turismo</w:t>
      </w:r>
      <w:r w:rsidRPr="000C5398">
        <w:t xml:space="preserve"> esclareceu </w:t>
      </w:r>
      <w:r w:rsidRPr="000C5398">
        <w:rPr>
          <w:rStyle w:val="Strong"/>
        </w:rPr>
        <w:t>inexistência de contrapartida</w:t>
      </w:r>
      <w:r w:rsidRPr="000C5398">
        <w:t xml:space="preserve"> e a adoção de </w:t>
      </w:r>
      <w:r w:rsidRPr="000C5398">
        <w:rPr>
          <w:rStyle w:val="Strong"/>
        </w:rPr>
        <w:t>crédito por excesso de arrecadação</w:t>
      </w:r>
      <w:r w:rsidRPr="000C5398">
        <w:t xml:space="preserve"> após o depósito estadual.</w:t>
      </w:r>
    </w:p>
    <w:p w:rsidR="00F74441" w:rsidRPr="000C5398" w:rsidP="000C5398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0C3715" w:rsidRPr="000C5398" w:rsidP="000C5398" w14:paraId="4DB48785" w14:textId="37D75128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0C5398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43711D" w:rsidRPr="000C5398" w:rsidP="000C5398" w14:paraId="622FD38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>1. Competência, iniciativa e interesse local</w:t>
      </w:r>
    </w:p>
    <w:p w:rsidR="0043711D" w:rsidRPr="000C5398" w:rsidP="000C5398" w14:paraId="5FD338C9" w14:textId="6EADCD93">
      <w:pPr>
        <w:pStyle w:val="NormalWeb"/>
        <w:spacing w:line="360" w:lineRule="auto"/>
        <w:ind w:left="360"/>
        <w:jc w:val="both"/>
      </w:pPr>
      <w:r w:rsidRPr="000C5398">
        <w:tab/>
      </w:r>
      <w:r w:rsidRPr="000C5398">
        <w:t xml:space="preserve">A matéria insere-se no âmbito municipal (cultura e fomento a evento local), ao abrigo do </w:t>
      </w:r>
      <w:r w:rsidRPr="000C5398">
        <w:rPr>
          <w:rStyle w:val="Strong"/>
        </w:rPr>
        <w:t>art. 30, I e II, da CF</w:t>
      </w:r>
      <w:r w:rsidRPr="000C5398">
        <w:t xml:space="preserve"> (assuntos de interesse local e suplementação da legislação) e dos dispositivos correlatos da </w:t>
      </w:r>
      <w:r w:rsidRPr="000C5398">
        <w:rPr>
          <w:rStyle w:val="Strong"/>
        </w:rPr>
        <w:t>Lei Orgânica</w:t>
      </w:r>
      <w:r w:rsidRPr="000C5398">
        <w:t xml:space="preserve"> (competência e controle legislativo sobre convênios com encargos). O parecer da SNJ menciona expressamente os </w:t>
      </w:r>
      <w:r w:rsidRPr="000C5398">
        <w:t>arts</w:t>
      </w:r>
      <w:r w:rsidRPr="000C5398">
        <w:t xml:space="preserve">. </w:t>
      </w:r>
      <w:r w:rsidRPr="000C5398">
        <w:rPr>
          <w:rStyle w:val="Strong"/>
        </w:rPr>
        <w:t>12, I; 31, XIV; 32, XII; e 71, XXXVII</w:t>
      </w:r>
      <w:r w:rsidRPr="000C5398">
        <w:t xml:space="preserve"> da LOM, que amparam a autorização legislativa para ajustes que possam gerar obrigações. A iniciativa é </w:t>
      </w:r>
      <w:r w:rsidRPr="000C5398">
        <w:rPr>
          <w:rStyle w:val="Strong"/>
        </w:rPr>
        <w:t>privativa do Chefe do Executivo</w:t>
      </w:r>
      <w:r w:rsidRPr="000C5398">
        <w:t>, como ato de gestão intergovernamental, corretamente deflagrada.</w:t>
      </w:r>
    </w:p>
    <w:p w:rsidR="0043711D" w:rsidRPr="000C5398" w:rsidP="000C5398" w14:paraId="45366730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 xml:space="preserve">2. </w:t>
      </w:r>
      <w:r w:rsidRPr="000C5398">
        <w:rPr>
          <w:color w:val="auto"/>
          <w:sz w:val="24"/>
          <w:szCs w:val="24"/>
        </w:rPr>
        <w:t>Regimentalidade</w:t>
      </w:r>
      <w:r w:rsidRPr="000C5398">
        <w:rPr>
          <w:color w:val="auto"/>
          <w:sz w:val="24"/>
          <w:szCs w:val="24"/>
        </w:rPr>
        <w:t xml:space="preserve"> e urgência</w:t>
      </w:r>
    </w:p>
    <w:p w:rsidR="0043711D" w:rsidRPr="000C5398" w:rsidP="000C5398" w14:paraId="5321730E" w14:textId="3E74AEFF">
      <w:pPr>
        <w:pStyle w:val="NormalWeb"/>
        <w:spacing w:line="360" w:lineRule="auto"/>
        <w:ind w:left="360"/>
        <w:jc w:val="both"/>
      </w:pPr>
      <w:r>
        <w:tab/>
      </w:r>
      <w:r w:rsidRPr="000C5398">
        <w:t xml:space="preserve">O </w:t>
      </w:r>
      <w:r w:rsidRPr="000C5398">
        <w:rPr>
          <w:rStyle w:val="Strong"/>
        </w:rPr>
        <w:t>regime de urgência</w:t>
      </w:r>
      <w:r w:rsidRPr="000C5398">
        <w:t xml:space="preserve"> foi formalmente solicitado na Mensagem nº 36/2025, com fundamento no </w:t>
      </w:r>
      <w:r w:rsidRPr="000C5398">
        <w:rPr>
          <w:rStyle w:val="Strong"/>
        </w:rPr>
        <w:t>art. 54 da LOM</w:t>
      </w:r>
      <w:r w:rsidRPr="000C5398">
        <w:t xml:space="preserve">. Assim, o </w:t>
      </w:r>
      <w:r w:rsidRPr="000C5398">
        <w:rPr>
          <w:rStyle w:val="Strong"/>
        </w:rPr>
        <w:t>parecer é conjunto</w:t>
      </w:r>
      <w:r w:rsidRPr="000C5398">
        <w:t xml:space="preserve"> das Comissões de </w:t>
      </w:r>
      <w:r w:rsidRPr="000C5398">
        <w:rPr>
          <w:rStyle w:val="Strong"/>
        </w:rPr>
        <w:t>Justiça e Redação</w:t>
      </w:r>
      <w:r w:rsidRPr="000C5398">
        <w:t xml:space="preserve">; </w:t>
      </w:r>
      <w:r w:rsidRPr="000C5398">
        <w:rPr>
          <w:rStyle w:val="Strong"/>
        </w:rPr>
        <w:t>Educação, Saúde, Cultura, Esporte e Assistência Social</w:t>
      </w:r>
      <w:r w:rsidRPr="000C5398">
        <w:t xml:space="preserve">; e </w:t>
      </w:r>
      <w:r w:rsidRPr="000C5398">
        <w:rPr>
          <w:rStyle w:val="Strong"/>
        </w:rPr>
        <w:t>Finanças e Orçamento</w:t>
      </w:r>
      <w:r w:rsidRPr="000C5398">
        <w:t xml:space="preserve">, preservada a abordagem </w:t>
      </w:r>
      <w:r w:rsidRPr="000C5398">
        <w:rPr>
          <w:rStyle w:val="Strong"/>
        </w:rPr>
        <w:t>jurídico-formal</w:t>
      </w:r>
      <w:r w:rsidRPr="000C5398">
        <w:t xml:space="preserve"> – sem incursão em mérito setorial, ainda que façamos menções normativas às áreas.</w:t>
      </w:r>
    </w:p>
    <w:p w:rsidR="000C5398" w:rsidP="000C5398" w14:paraId="10B14CE9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>3. Juridicidade e separação de poderes (lei autorizativa para convênios)</w:t>
      </w:r>
    </w:p>
    <w:p w:rsidR="000C5398" w:rsidP="000C5398" w14:paraId="46449D3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0C5398">
        <w:rPr>
          <w:color w:val="auto"/>
          <w:sz w:val="24"/>
          <w:szCs w:val="24"/>
        </w:rPr>
        <w:t xml:space="preserve">A consultoria SGP registra corrente doutrinária que </w:t>
      </w:r>
      <w:r w:rsidRPr="000C5398">
        <w:rPr>
          <w:rStyle w:val="Strong"/>
          <w:color w:val="auto"/>
          <w:sz w:val="24"/>
          <w:szCs w:val="24"/>
        </w:rPr>
        <w:t>dispensa</w:t>
      </w:r>
      <w:r w:rsidRPr="000C5398">
        <w:rPr>
          <w:color w:val="auto"/>
          <w:sz w:val="24"/>
          <w:szCs w:val="24"/>
        </w:rPr>
        <w:t xml:space="preserve"> lei autorizativa por se tratar de ato administrativo do Executivo, mas ressalta a linha </w:t>
      </w:r>
      <w:r w:rsidRPr="000C5398">
        <w:rPr>
          <w:rStyle w:val="Strong"/>
          <w:color w:val="auto"/>
          <w:sz w:val="24"/>
          <w:szCs w:val="24"/>
        </w:rPr>
        <w:t>jurisprudencial</w:t>
      </w:r>
      <w:r w:rsidRPr="000C5398">
        <w:rPr>
          <w:color w:val="auto"/>
          <w:sz w:val="24"/>
          <w:szCs w:val="24"/>
        </w:rPr>
        <w:t xml:space="preserve"> que </w:t>
      </w:r>
      <w:r w:rsidRPr="000C5398">
        <w:rPr>
          <w:rStyle w:val="Strong"/>
          <w:color w:val="auto"/>
          <w:sz w:val="24"/>
          <w:szCs w:val="24"/>
        </w:rPr>
        <w:t>admite a exigência local</w:t>
      </w:r>
      <w:r w:rsidRPr="000C5398">
        <w:rPr>
          <w:color w:val="auto"/>
          <w:sz w:val="24"/>
          <w:szCs w:val="24"/>
        </w:rPr>
        <w:t xml:space="preserve"> quando o ajuste possa “</w:t>
      </w:r>
      <w:r w:rsidRPr="000C5398">
        <w:rPr>
          <w:rStyle w:val="Strong"/>
          <w:color w:val="auto"/>
          <w:sz w:val="24"/>
          <w:szCs w:val="24"/>
        </w:rPr>
        <w:t>gerar encargos ou compromissos gravosos ao Município</w:t>
      </w:r>
      <w:r w:rsidRPr="000C5398">
        <w:rPr>
          <w:color w:val="auto"/>
          <w:sz w:val="24"/>
          <w:szCs w:val="24"/>
        </w:rPr>
        <w:t>” (TJ-SP, ADI 2081571-22.2024.8.26.0000). No STF, destaca-se o RE 488.065 (“</w:t>
      </w:r>
      <w:r w:rsidRPr="000C5398">
        <w:rPr>
          <w:rStyle w:val="Strong"/>
          <w:color w:val="auto"/>
          <w:sz w:val="24"/>
          <w:szCs w:val="24"/>
        </w:rPr>
        <w:t>Convênio – Autorização – Poder Legislativo – Possibilidade</w:t>
      </w:r>
      <w:r w:rsidRPr="000C5398">
        <w:rPr>
          <w:color w:val="auto"/>
          <w:sz w:val="24"/>
          <w:szCs w:val="24"/>
        </w:rPr>
        <w:t xml:space="preserve"> […], não contraria o princípio da separação de poderes” – 1ª Turma).</w:t>
      </w:r>
    </w:p>
    <w:p w:rsidR="000C5398" w:rsidRPr="000C5398" w:rsidP="000C5398" w14:paraId="3B870F21" w14:textId="38AC90BE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0C5398">
        <w:rPr>
          <w:rStyle w:val="Strong"/>
          <w:color w:val="auto"/>
          <w:sz w:val="24"/>
          <w:szCs w:val="24"/>
        </w:rPr>
        <w:t>Releva acrescentar</w:t>
      </w:r>
      <w:r w:rsidRPr="000C5398">
        <w:rPr>
          <w:color w:val="auto"/>
          <w:sz w:val="24"/>
          <w:szCs w:val="24"/>
        </w:rPr>
        <w:t xml:space="preserve"> que, no caso concreto, a própria </w:t>
      </w:r>
      <w:r w:rsidRPr="000C5398">
        <w:rPr>
          <w:rStyle w:val="Strong"/>
          <w:color w:val="auto"/>
          <w:sz w:val="24"/>
          <w:szCs w:val="24"/>
        </w:rPr>
        <w:t>Secretaria de Estado da Cultura, Economia e Indústria Criativas</w:t>
      </w:r>
      <w:r w:rsidRPr="000C5398">
        <w:rPr>
          <w:color w:val="auto"/>
          <w:sz w:val="24"/>
          <w:szCs w:val="24"/>
        </w:rPr>
        <w:t xml:space="preserve"> condiciona a celebração do convênio à existência de lei municipal autorizativa. Consta expressamente nos autos, no </w:t>
      </w:r>
      <w:r w:rsidRPr="000C5398">
        <w:rPr>
          <w:rStyle w:val="Strong"/>
          <w:color w:val="auto"/>
          <w:sz w:val="24"/>
          <w:szCs w:val="24"/>
        </w:rPr>
        <w:t>Despacho nº 160/2025 da Secretaria de Cultura e Turismo de Mogi Mirim</w:t>
      </w:r>
      <w:r w:rsidRPr="000C5398">
        <w:rPr>
          <w:color w:val="auto"/>
          <w:sz w:val="24"/>
          <w:szCs w:val="24"/>
        </w:rPr>
        <w:t>:</w:t>
      </w:r>
    </w:p>
    <w:p w:rsidR="000C5398" w:rsidP="000C5398" w14:paraId="1329E1D6" w14:textId="77777777">
      <w:pPr>
        <w:pStyle w:val="NormalWeb"/>
        <w:ind w:left="2268"/>
        <w:jc w:val="both"/>
        <w:rPr>
          <w:i/>
        </w:rPr>
      </w:pPr>
      <w:r w:rsidRPr="000C5398">
        <w:rPr>
          <w:i/>
        </w:rPr>
        <w:t xml:space="preserve">“Do ponto de vista técnico, a formalização dessa autorização legislativa é requisito indispensável para que o Município possa receber os recursos e dar andamento aos trâmites administrativos e jurídicos necessários à execução do projeto cultural. </w:t>
      </w:r>
      <w:r w:rsidRPr="000C5398">
        <w:rPr>
          <w:rStyle w:val="Strong"/>
          <w:i/>
        </w:rPr>
        <w:t xml:space="preserve">Sem a aprovação da presente lei, não será possível firmar o instrumento de convênio nem viabilizar a utilização dos valores </w:t>
      </w:r>
      <w:r w:rsidRPr="000C5398">
        <w:rPr>
          <w:rStyle w:val="Strong"/>
          <w:i/>
        </w:rPr>
        <w:t>destinados.</w:t>
      </w:r>
      <w:r w:rsidRPr="000C5398">
        <w:rPr>
          <w:i/>
        </w:rPr>
        <w:t>”</w:t>
      </w:r>
    </w:p>
    <w:p w:rsidR="000C5398" w:rsidRPr="000C5398" w:rsidP="000C5398" w14:paraId="38256539" w14:textId="7529C513">
      <w:pPr>
        <w:pStyle w:val="NormalWeb"/>
        <w:spacing w:line="360" w:lineRule="auto"/>
        <w:jc w:val="both"/>
        <w:rPr>
          <w:i/>
        </w:rPr>
      </w:pPr>
      <w:r>
        <w:rPr>
          <w:i/>
        </w:rPr>
        <w:tab/>
      </w:r>
      <w:r w:rsidRPr="000C5398">
        <w:t xml:space="preserve">Desse modo, a exigência da lei não é apenas medida de controle legislativo, mas também </w:t>
      </w:r>
      <w:r w:rsidRPr="000C5398">
        <w:rPr>
          <w:rStyle w:val="Strong"/>
        </w:rPr>
        <w:t>condição administrativa imposta pelo próprio ente estadual concedente</w:t>
      </w:r>
      <w:r w:rsidRPr="000C5398">
        <w:t>. Logo, a tramitação e aprovação do PL nº 99/2025 se mostram indispensáveis para a efetiva formalização do convênio e subsequente recebimento dos recursos.</w:t>
      </w:r>
    </w:p>
    <w:p w:rsidR="0043711D" w:rsidRPr="000C5398" w:rsidP="000C5398" w14:paraId="6C9842DE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>4. Técnica legislativa (LC 95/1998)</w:t>
      </w:r>
    </w:p>
    <w:p w:rsidR="0043711D" w:rsidRPr="000C5398" w:rsidP="000C5398" w14:paraId="284A3BA1" w14:textId="3C142CB5">
      <w:pPr>
        <w:pStyle w:val="NormalWeb"/>
        <w:spacing w:line="360" w:lineRule="auto"/>
        <w:jc w:val="both"/>
      </w:pPr>
      <w:r>
        <w:tab/>
      </w:r>
      <w:r w:rsidRPr="000C5398">
        <w:t xml:space="preserve">O texto </w:t>
      </w:r>
      <w:r w:rsidRPr="000C5398">
        <w:rPr>
          <w:rStyle w:val="Strong"/>
        </w:rPr>
        <w:t>observa unidade temática, concisão e clareza</w:t>
      </w:r>
      <w:r w:rsidRPr="000C5398">
        <w:t xml:space="preserve"> (LC 95/1998), delimitando: (i) </w:t>
      </w:r>
      <w:r w:rsidRPr="000C5398">
        <w:rPr>
          <w:rStyle w:val="Strong"/>
        </w:rPr>
        <w:t>objeto</w:t>
      </w:r>
      <w:r w:rsidRPr="000C5398">
        <w:t xml:space="preserve"> (autorização para convênio com o Estado por sua Secretaria de Cultura, para realizar a Feira); (</w:t>
      </w:r>
      <w:r w:rsidRPr="000C5398">
        <w:t>ii</w:t>
      </w:r>
      <w:r w:rsidRPr="000C5398">
        <w:t xml:space="preserve">) </w:t>
      </w:r>
      <w:r w:rsidRPr="000C5398">
        <w:rPr>
          <w:rStyle w:val="Strong"/>
        </w:rPr>
        <w:t>fontes de custeio municipal eventuais</w:t>
      </w:r>
      <w:r w:rsidRPr="000C5398">
        <w:t xml:space="preserve"> (art. 2º – dotações próprias, com suplementação por decreto, se necessário); e (</w:t>
      </w:r>
      <w:r w:rsidRPr="000C5398">
        <w:t>iii</w:t>
      </w:r>
      <w:r w:rsidRPr="000C5398">
        <w:t xml:space="preserve">) </w:t>
      </w:r>
      <w:r w:rsidRPr="000C5398">
        <w:rPr>
          <w:rStyle w:val="Strong"/>
        </w:rPr>
        <w:t>vigência</w:t>
      </w:r>
      <w:r w:rsidRPr="000C5398">
        <w:t xml:space="preserve"> (art. 3º). Recomenda-se </w:t>
      </w:r>
      <w:r w:rsidRPr="000C5398">
        <w:rPr>
          <w:rStyle w:val="Strong"/>
        </w:rPr>
        <w:t>manter a denominação oficial do evento</w:t>
      </w:r>
      <w:r w:rsidRPr="000C5398">
        <w:t xml:space="preserve"> exatamente como no art. 1º – “</w:t>
      </w:r>
      <w:r w:rsidRPr="000C5398">
        <w:rPr>
          <w:rStyle w:val="Strong"/>
        </w:rPr>
        <w:t>Feira Literária ‘Joaquim Firmino de Araújo Cunha’</w:t>
      </w:r>
      <w:r w:rsidRPr="000C5398">
        <w:t>” – evitando variações redacionais em peças acessórias.</w:t>
      </w:r>
    </w:p>
    <w:p w:rsidR="0043711D" w:rsidRPr="000C5398" w:rsidP="000C5398" w14:paraId="42DE686E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>5. Enquadramentos normativos setoriais (sem juízo de mérito)</w:t>
      </w:r>
    </w:p>
    <w:p w:rsidR="0043711D" w:rsidRPr="000C5398" w:rsidP="000C5398" w14:paraId="69590EBD" w14:textId="7A7A42BB">
      <w:pPr>
        <w:pStyle w:val="NormalWeb"/>
        <w:spacing w:line="360" w:lineRule="auto"/>
        <w:jc w:val="both"/>
      </w:pPr>
      <w:r>
        <w:rPr>
          <w:rStyle w:val="Strong"/>
        </w:rPr>
        <w:tab/>
      </w:r>
      <w:r w:rsidRPr="000C5398">
        <w:rPr>
          <w:rStyle w:val="Strong"/>
        </w:rPr>
        <w:t>Educação, cultura e direitos sociais</w:t>
      </w:r>
      <w:r w:rsidRPr="000C5398">
        <w:t xml:space="preserve">: a iniciativa </w:t>
      </w:r>
      <w:r w:rsidRPr="000C5398">
        <w:rPr>
          <w:rStyle w:val="Strong"/>
        </w:rPr>
        <w:t>se alinha</w:t>
      </w:r>
      <w:r w:rsidRPr="000C5398">
        <w:t xml:space="preserve"> aos direitos culturais e educacionais previstos nos </w:t>
      </w:r>
      <w:r w:rsidRPr="000C5398">
        <w:rPr>
          <w:rStyle w:val="Strong"/>
        </w:rPr>
        <w:t>arts</w:t>
      </w:r>
      <w:r w:rsidRPr="000C5398">
        <w:rPr>
          <w:rStyle w:val="Strong"/>
        </w:rPr>
        <w:t>. 6º, 205 e 215 da CF</w:t>
      </w:r>
      <w:r w:rsidRPr="000C5398">
        <w:t xml:space="preserve">, bem como às diretrizes de políticas de cultura citadas na </w:t>
      </w:r>
      <w:r w:rsidRPr="000C5398">
        <w:rPr>
          <w:rStyle w:val="Strong"/>
        </w:rPr>
        <w:t>Mensagem 36</w:t>
      </w:r>
      <w:r w:rsidRPr="000C5398">
        <w:t xml:space="preserve"> (consonância com Política Nacional de Cultura e com o Plano Municipal de Cultura). O registro é </w:t>
      </w:r>
      <w:r w:rsidRPr="000C5398">
        <w:rPr>
          <w:rStyle w:val="Strong"/>
        </w:rPr>
        <w:t>formal-jurídico</w:t>
      </w:r>
      <w:r w:rsidRPr="000C5398">
        <w:t>: reconhece-se a base constitucional sem avaliar conteúdo programático.</w:t>
      </w:r>
    </w:p>
    <w:p w:rsidR="0043711D" w:rsidRPr="000C5398" w:rsidP="000C5398" w14:paraId="18974D24" w14:textId="4A2FAD14">
      <w:pPr>
        <w:pStyle w:val="NormalWeb"/>
        <w:spacing w:line="360" w:lineRule="auto"/>
        <w:jc w:val="both"/>
      </w:pPr>
      <w:r>
        <w:rPr>
          <w:rStyle w:val="Strong"/>
        </w:rPr>
        <w:tab/>
      </w:r>
      <w:r w:rsidRPr="000C5398">
        <w:rPr>
          <w:rStyle w:val="Strong"/>
        </w:rPr>
        <w:t>Orçamentário-financeiro</w:t>
      </w:r>
      <w:r w:rsidRPr="000C5398">
        <w:t xml:space="preserve">: a </w:t>
      </w:r>
      <w:r w:rsidRPr="000C5398">
        <w:rPr>
          <w:rStyle w:val="Strong"/>
        </w:rPr>
        <w:t>Mensagem</w:t>
      </w:r>
      <w:r w:rsidRPr="000C5398">
        <w:t xml:space="preserve"> indica </w:t>
      </w:r>
      <w:r w:rsidRPr="000C5398">
        <w:rPr>
          <w:rStyle w:val="Strong"/>
        </w:rPr>
        <w:t>ausência de contrapartida</w:t>
      </w:r>
      <w:r w:rsidRPr="000C5398">
        <w:t xml:space="preserve">; a SNJ consignou que, havendo ingresso de recurso estadual, adotar-se-á </w:t>
      </w:r>
      <w:r w:rsidRPr="000C5398">
        <w:rPr>
          <w:rStyle w:val="Strong"/>
        </w:rPr>
        <w:t>crédito adicional por excesso de arrecadação</w:t>
      </w:r>
      <w:r w:rsidRPr="000C5398">
        <w:t xml:space="preserve">; e que a minuta deve observar </w:t>
      </w:r>
      <w:r w:rsidRPr="000C5398">
        <w:rPr>
          <w:rStyle w:val="Strong"/>
        </w:rPr>
        <w:t>compatibilidade com PPA/LDO/LOA</w:t>
      </w:r>
      <w:r w:rsidRPr="000C5398">
        <w:t xml:space="preserve"> – providências próprias da </w:t>
      </w:r>
      <w:r w:rsidRPr="000C5398">
        <w:rPr>
          <w:rStyle w:val="Strong"/>
        </w:rPr>
        <w:t>execução</w:t>
      </w:r>
      <w:r w:rsidRPr="000C5398">
        <w:t xml:space="preserve"> e do </w:t>
      </w:r>
      <w:r w:rsidRPr="000C5398">
        <w:rPr>
          <w:rStyle w:val="Strong"/>
        </w:rPr>
        <w:t>controle</w:t>
      </w:r>
      <w:r w:rsidRPr="000C5398">
        <w:t xml:space="preserve">. O </w:t>
      </w:r>
      <w:r w:rsidRPr="000C5398">
        <w:rPr>
          <w:rStyle w:val="Strong"/>
        </w:rPr>
        <w:t>art. 2º do PL</w:t>
      </w:r>
      <w:r w:rsidRPr="000C5398">
        <w:t xml:space="preserve"> já vincula quaisquer encargos a dotações existentes e, se necessário, à suplementação por decreto. Tais balizas estão em consonância com a </w:t>
      </w:r>
      <w:r w:rsidRPr="000C5398">
        <w:rPr>
          <w:rStyle w:val="Strong"/>
        </w:rPr>
        <w:t>CF, art. 167, II</w:t>
      </w:r>
      <w:r w:rsidRPr="000C5398">
        <w:t xml:space="preserve"> (vedação de despesa sem autorização orçamentária) e com a </w:t>
      </w:r>
      <w:r w:rsidRPr="000C5398">
        <w:rPr>
          <w:rStyle w:val="Strong"/>
        </w:rPr>
        <w:t>LRF, art. 15</w:t>
      </w:r>
      <w:r w:rsidRPr="000C5398">
        <w:t xml:space="preserve"> (criação/despesa condicionada a estimativa e adequação orçamentária).</w:t>
      </w:r>
    </w:p>
    <w:p w:rsidR="0043711D" w:rsidRPr="000C5398" w:rsidP="000C5398" w14:paraId="7F7727CE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color w:val="auto"/>
          <w:sz w:val="24"/>
          <w:szCs w:val="24"/>
        </w:rPr>
        <w:t>6. Instrução do processo e lastro técnico</w:t>
      </w:r>
    </w:p>
    <w:p w:rsidR="0043711D" w:rsidRPr="000C5398" w:rsidP="00BB62CD" w14:paraId="193EFFDA" w14:textId="14821454">
      <w:pPr>
        <w:pStyle w:val="NormalWeb"/>
        <w:spacing w:line="360" w:lineRule="auto"/>
        <w:jc w:val="both"/>
      </w:pPr>
      <w:r>
        <w:tab/>
      </w:r>
      <w:r w:rsidRPr="000C5398">
        <w:t xml:space="preserve">O processo contém </w:t>
      </w:r>
      <w:r w:rsidRPr="000C5398">
        <w:rPr>
          <w:rStyle w:val="Strong"/>
        </w:rPr>
        <w:t>Plano de Trabalho</w:t>
      </w:r>
      <w:r w:rsidRPr="000C5398">
        <w:t xml:space="preserve"> e </w:t>
      </w:r>
      <w:r w:rsidRPr="000C5398">
        <w:rPr>
          <w:rStyle w:val="Strong"/>
        </w:rPr>
        <w:t>Parecer Técnico Favorável</w:t>
      </w:r>
      <w:r w:rsidRPr="000C5398">
        <w:t xml:space="preserve"> da </w:t>
      </w:r>
      <w:r w:rsidRPr="000C5398">
        <w:rPr>
          <w:rStyle w:val="Strong"/>
        </w:rPr>
        <w:t>Diretoria de Difusão, Formação e Leitura</w:t>
      </w:r>
      <w:r w:rsidRPr="000C5398">
        <w:t xml:space="preserve"> da Secretaria de Estado da Cultura (demanda 084255), atestando </w:t>
      </w:r>
      <w:r w:rsidRPr="000C5398">
        <w:rPr>
          <w:rStyle w:val="Strong"/>
        </w:rPr>
        <w:t>mérito e viabilidade</w:t>
      </w:r>
      <w:r w:rsidRPr="000C5398">
        <w:t xml:space="preserve">, bem como a </w:t>
      </w:r>
      <w:r w:rsidRPr="000C5398">
        <w:rPr>
          <w:rStyle w:val="Strong"/>
        </w:rPr>
        <w:t>desembolsar em parcela única</w:t>
      </w:r>
      <w:r w:rsidRPr="000C5398">
        <w:t xml:space="preserve">, com justificativas de economicidade. A </w:t>
      </w:r>
      <w:r w:rsidRPr="000C5398">
        <w:rPr>
          <w:rStyle w:val="Strong"/>
        </w:rPr>
        <w:t>SNJ</w:t>
      </w:r>
      <w:r w:rsidRPr="000C5398">
        <w:t xml:space="preserve"> sugeriu anexar “</w:t>
      </w:r>
      <w:r w:rsidRPr="000C5398">
        <w:rPr>
          <w:rStyle w:val="Strong"/>
        </w:rPr>
        <w:t>a documentação alusiva ao convênio, direcionada pela Secretaria Estadual</w:t>
      </w:r>
      <w:r w:rsidRPr="000C5398">
        <w:t xml:space="preserve">”, o que </w:t>
      </w:r>
      <w:r w:rsidRPr="000C5398">
        <w:rPr>
          <w:rStyle w:val="Strong"/>
        </w:rPr>
        <w:t>já consta</w:t>
      </w:r>
      <w:r w:rsidRPr="000C5398">
        <w:t xml:space="preserve"> nos autos, inclusive com </w:t>
      </w:r>
      <w:r w:rsidRPr="000C5398">
        <w:rPr>
          <w:rStyle w:val="Strong"/>
        </w:rPr>
        <w:t>metas e indicadores</w:t>
      </w:r>
      <w:r w:rsidRPr="000C5398">
        <w:t xml:space="preserve"> do projeto</w:t>
      </w:r>
      <w:r w:rsidR="00BB62CD">
        <w:t>.</w:t>
      </w:r>
    </w:p>
    <w:p w:rsidR="00464667" w:rsidRPr="000C5398" w:rsidP="000C5398" w14:paraId="225EEAE9" w14:textId="67BFF950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0C5398" w:rsidP="000C5398" w14:paraId="68542A3A" w14:textId="16D3B14B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rStyle w:val="Strong"/>
          <w:b/>
          <w:bCs w:val="0"/>
          <w:color w:val="auto"/>
          <w:sz w:val="24"/>
          <w:szCs w:val="24"/>
        </w:rPr>
        <w:t>IV</w:t>
      </w:r>
      <w:r w:rsidRPr="000C5398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0C5398" w:rsidP="000C5398" w14:paraId="0344C6BF" w14:textId="16C75FFA">
      <w:pPr>
        <w:pStyle w:val="NormalWeb"/>
        <w:spacing w:line="360" w:lineRule="auto"/>
        <w:ind w:firstLine="720"/>
        <w:jc w:val="both"/>
      </w:pPr>
      <w:r w:rsidRPr="000C5398">
        <w:t xml:space="preserve">À vista do exposto, </w:t>
      </w:r>
      <w:r w:rsidRPr="000C5398">
        <w:rPr>
          <w:rStyle w:val="Strong"/>
        </w:rPr>
        <w:t xml:space="preserve">opina-se pela constitucionalidade, legalidade, juridicidade, </w:t>
      </w:r>
      <w:r w:rsidRPr="000C5398">
        <w:rPr>
          <w:rStyle w:val="Strong"/>
        </w:rPr>
        <w:t>regimentalidade</w:t>
      </w:r>
      <w:r w:rsidRPr="000C5398">
        <w:rPr>
          <w:rStyle w:val="Strong"/>
        </w:rPr>
        <w:t xml:space="preserve"> e boa técnica legislativa</w:t>
      </w:r>
      <w:r w:rsidRPr="000C5398">
        <w:t xml:space="preserve"> do </w:t>
      </w:r>
      <w:r w:rsidRPr="000C5398">
        <w:rPr>
          <w:rStyle w:val="Strong"/>
        </w:rPr>
        <w:t>Projeto de Lei nº 99/2025</w:t>
      </w:r>
      <w:r w:rsidRPr="000C5398">
        <w:t xml:space="preserve">, </w:t>
      </w:r>
      <w:r w:rsidRPr="000C5398">
        <w:rPr>
          <w:rStyle w:val="Strong"/>
        </w:rPr>
        <w:t>recomendando-se sua aprovação</w:t>
      </w:r>
      <w:r w:rsidRPr="000C5398">
        <w:t xml:space="preserve">, </w:t>
      </w:r>
      <w:r w:rsidRPr="000C5398">
        <w:rPr>
          <w:rStyle w:val="Strong"/>
        </w:rPr>
        <w:t>sem emendas</w:t>
      </w:r>
      <w:r w:rsidRPr="000C5398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0C5398" w:rsidP="000C5398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0C5398" w:rsidP="000C5398" w14:paraId="2AF20253" w14:textId="7F1A01AE">
      <w:pPr>
        <w:pStyle w:val="NormalWeb"/>
        <w:spacing w:line="360" w:lineRule="auto"/>
        <w:jc w:val="both"/>
      </w:pPr>
      <w:r w:rsidRPr="000C5398">
        <w:tab/>
        <w:t>A Comissão de Justiça e Redação, por unanimidade, </w:t>
      </w:r>
      <w:r w:rsidRPr="000C5398">
        <w:rPr>
          <w:rStyle w:val="Strong"/>
        </w:rPr>
        <w:t>aprova</w:t>
      </w:r>
      <w:r w:rsidRPr="000C5398">
        <w:t> o Pro</w:t>
      </w:r>
      <w:r w:rsidRPr="000C5398" w:rsidR="00353DA0">
        <w:t>jeto de Lei nº 99</w:t>
      </w:r>
      <w:r w:rsidRPr="000C5398">
        <w:t xml:space="preserve"> de 2025, </w:t>
      </w:r>
      <w:r w:rsidRPr="000C5398" w:rsidR="00353DA0">
        <w:rPr>
          <w:rStyle w:val="Strong"/>
        </w:rPr>
        <w:t>se</w:t>
      </w:r>
      <w:r w:rsidRPr="000C5398" w:rsidR="001A23DA">
        <w:rPr>
          <w:rStyle w:val="Strong"/>
        </w:rPr>
        <w:t>m</w:t>
      </w:r>
      <w:r w:rsidRPr="000C5398" w:rsidR="003D6D21">
        <w:rPr>
          <w:rStyle w:val="Strong"/>
        </w:rPr>
        <w:t xml:space="preserve"> emendas</w:t>
      </w:r>
      <w:r w:rsidRPr="000C5398">
        <w:t>, considerando-o </w:t>
      </w:r>
      <w:r w:rsidRPr="000C5398" w:rsidR="00A67DE2">
        <w:rPr>
          <w:rStyle w:val="Strong"/>
        </w:rPr>
        <w:t>legal,</w:t>
      </w:r>
      <w:r w:rsidRPr="000C5398" w:rsidR="001A23DA">
        <w:rPr>
          <w:rStyle w:val="Strong"/>
        </w:rPr>
        <w:t xml:space="preserve"> constitucional e</w:t>
      </w:r>
      <w:r w:rsidRPr="000C5398">
        <w:rPr>
          <w:rStyle w:val="Strong"/>
        </w:rPr>
        <w:t xml:space="preserve"> conveniente</w:t>
      </w:r>
      <w:r w:rsidRPr="000C5398">
        <w:t>.</w:t>
      </w:r>
    </w:p>
    <w:p w:rsidR="00F74441" w:rsidRPr="000C5398" w:rsidP="000C5398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0C5398" w:rsidP="000C5398" w14:paraId="14CCE9EB" w14:textId="77777777">
      <w:pPr>
        <w:pStyle w:val="NormalWeb"/>
        <w:spacing w:line="360" w:lineRule="auto"/>
      </w:pPr>
      <w:r w:rsidRPr="000C5398">
        <w:rPr>
          <w:rStyle w:val="Strong"/>
        </w:rPr>
        <w:t>Assinam os membros da Comissão de Justiça e Redação que votaram a favor:</w:t>
      </w:r>
    </w:p>
    <w:p w:rsidR="00346786" w:rsidRPr="000C5398" w:rsidP="000C5398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C5398">
        <w:t>Vereador Wagner Ricardo Pereira (Presidente)</w:t>
      </w:r>
    </w:p>
    <w:p w:rsidR="00346786" w:rsidRPr="000C5398" w:rsidP="000C5398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C5398">
        <w:t>Vereador Manoel Eduardo Pereira da Cruz Palomino (Vice-Presidente)</w:t>
      </w:r>
    </w:p>
    <w:p w:rsidR="00346786" w:rsidRPr="000C5398" w:rsidP="000C5398" w14:paraId="25BDC939" w14:textId="0335ECEE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C5398">
        <w:t>Vereador João V</w:t>
      </w:r>
      <w:r w:rsidRPr="000C5398" w:rsidR="00746224">
        <w:t>ictor Gasparini (Membro</w:t>
      </w:r>
      <w:r w:rsidR="00BB62CD">
        <w:t>/ Relator</w:t>
      </w:r>
      <w:r w:rsidRPr="000C5398">
        <w:t>)</w:t>
      </w:r>
    </w:p>
    <w:p w:rsidR="00F74441" w:rsidRPr="000C5398" w:rsidP="000C5398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0C5398" w:rsidP="000C5398" w14:paraId="6AB168D8" w14:textId="02686374">
      <w:pPr>
        <w:pStyle w:val="NormalWeb"/>
        <w:spacing w:line="360" w:lineRule="auto"/>
        <w:jc w:val="center"/>
      </w:pPr>
      <w:r w:rsidRPr="000C5398">
        <w:rPr>
          <w:rStyle w:val="Strong"/>
        </w:rPr>
        <w:t>SALA DAS SESSÕES</w:t>
      </w:r>
      <w:r w:rsidRPr="000C5398" w:rsidR="00603CE4">
        <w:rPr>
          <w:rStyle w:val="Strong"/>
        </w:rPr>
        <w:t xml:space="preserve"> “VEREADOR SANT</w:t>
      </w:r>
      <w:r w:rsidRPr="000C5398" w:rsidR="000C5398">
        <w:rPr>
          <w:rStyle w:val="Strong"/>
        </w:rPr>
        <w:t>O RÓTTOLI”, em 27</w:t>
      </w:r>
      <w:r w:rsidRPr="000C5398" w:rsidR="00353DA0">
        <w:rPr>
          <w:rStyle w:val="Strong"/>
        </w:rPr>
        <w:t xml:space="preserve"> de agosto</w:t>
      </w:r>
      <w:r w:rsidRPr="000C5398">
        <w:rPr>
          <w:rStyle w:val="Strong"/>
        </w:rPr>
        <w:t xml:space="preserve"> de 2025.</w:t>
      </w:r>
    </w:p>
    <w:p w:rsidR="003D6D21" w:rsidRPr="000C5398" w:rsidP="000C5398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0C5398" w:rsidP="000C5398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C5398">
        <w:rPr>
          <w:bCs/>
          <w:i/>
          <w:sz w:val="24"/>
          <w:szCs w:val="24"/>
        </w:rPr>
        <w:t>(</w:t>
      </w:r>
      <w:r w:rsidRPr="000C5398">
        <w:rPr>
          <w:bCs/>
          <w:i/>
          <w:sz w:val="24"/>
          <w:szCs w:val="24"/>
        </w:rPr>
        <w:t>assinado</w:t>
      </w:r>
      <w:r w:rsidRPr="000C5398">
        <w:rPr>
          <w:bCs/>
          <w:i/>
          <w:sz w:val="24"/>
          <w:szCs w:val="24"/>
        </w:rPr>
        <w:t xml:space="preserve"> digitalmente)</w:t>
      </w:r>
    </w:p>
    <w:p w:rsidR="00F74441" w:rsidRPr="000C5398" w:rsidP="000C5398" w14:paraId="7E34DE79" w14:textId="5F3F9CAC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C5398">
        <w:rPr>
          <w:b/>
          <w:sz w:val="24"/>
          <w:szCs w:val="24"/>
          <w:highlight w:val="white"/>
          <w:u w:val="single"/>
        </w:rPr>
        <w:t xml:space="preserve">VEREADOR </w:t>
      </w:r>
      <w:r w:rsidR="00BB62CD">
        <w:rPr>
          <w:b/>
          <w:sz w:val="24"/>
          <w:szCs w:val="24"/>
          <w:highlight w:val="white"/>
          <w:u w:val="single"/>
        </w:rPr>
        <w:t>JOÃO VICTOR GASPARINI</w:t>
      </w:r>
    </w:p>
    <w:p w:rsidR="00F74441" w:rsidRPr="000C5398" w:rsidP="000C5398" w14:paraId="4D47B5CD" w14:textId="77777777">
      <w:pPr>
        <w:spacing w:line="360" w:lineRule="auto"/>
        <w:jc w:val="center"/>
        <w:rPr>
          <w:sz w:val="24"/>
          <w:szCs w:val="24"/>
        </w:rPr>
      </w:pPr>
      <w:r w:rsidRPr="000C5398">
        <w:rPr>
          <w:sz w:val="24"/>
          <w:szCs w:val="24"/>
        </w:rPr>
        <w:t>Relator</w:t>
      </w:r>
    </w:p>
    <w:p w:rsidR="00F13148" w:rsidRPr="000C5398" w:rsidP="000C5398" w14:paraId="45DD80A7" w14:textId="77777777">
      <w:pPr>
        <w:spacing w:line="360" w:lineRule="auto"/>
        <w:rPr>
          <w:sz w:val="24"/>
          <w:szCs w:val="24"/>
        </w:rPr>
      </w:pPr>
    </w:p>
    <w:p w:rsidR="00F74441" w:rsidRPr="000C5398" w:rsidP="000C5398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0C5398" w:rsidP="000C5398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C5398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0C5398" w:rsidP="000C5398" w14:paraId="03FE7FBF" w14:textId="6C97C1E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rStyle w:val="Strong"/>
        </w:rPr>
        <w:t>Consulta/0475/2025/JG</w:t>
      </w:r>
      <w:r w:rsidRPr="000C5398" w:rsidR="00F13148">
        <w:rPr>
          <w:rStyle w:val="Strong"/>
        </w:rPr>
        <w:t>/G/</w:t>
      </w:r>
      <w:r w:rsidRPr="000C5398">
        <w:rPr>
          <w:rStyle w:val="Strong"/>
        </w:rPr>
        <w:t>DDR</w:t>
      </w:r>
      <w:r w:rsidRPr="000C5398">
        <w:t xml:space="preserve">, elaborada pela assessoria jurídica externa, que aponta </w:t>
      </w:r>
      <w:r w:rsidRPr="000C5398" w:rsidR="008C125D">
        <w:t>que o projeto versa sobre questão de interesse local</w:t>
      </w:r>
      <w:r w:rsidRPr="000C5398" w:rsidR="00E57571">
        <w:t>. Declara</w:t>
      </w:r>
      <w:r w:rsidRPr="000C5398" w:rsidR="00F13148">
        <w:t xml:space="preserve"> que a iniciativa de lei é </w:t>
      </w:r>
      <w:r w:rsidRPr="000C5398" w:rsidR="001A23DA">
        <w:t>privativa do Chefe do Poder Executivo.</w:t>
      </w:r>
    </w:p>
    <w:p w:rsidR="005C66B5" w:rsidRPr="000C5398" w:rsidP="000C5398" w14:paraId="27B2D203" w14:textId="4707D2A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rStyle w:val="Strong"/>
        </w:rPr>
        <w:t xml:space="preserve">Constituição Federal, Art. 30, I: </w:t>
      </w:r>
      <w:r w:rsidRPr="000C5398">
        <w:rPr>
          <w:rStyle w:val="Strong"/>
          <w:b w:val="0"/>
        </w:rPr>
        <w:t>base legal para a competência de legislar sobre assuntos de interesse local</w:t>
      </w:r>
      <w:r w:rsidRPr="000C5398" w:rsidR="004B0509">
        <w:rPr>
          <w:rStyle w:val="Strong"/>
          <w:b w:val="0"/>
        </w:rPr>
        <w:t>.</w:t>
      </w:r>
      <w:r w:rsidRPr="000C5398">
        <w:rPr>
          <w:rStyle w:val="Strong"/>
          <w:b w:val="0"/>
        </w:rPr>
        <w:t xml:space="preserve"> </w:t>
      </w:r>
    </w:p>
    <w:p w:rsidR="005C66B5" w:rsidRPr="000C5398" w:rsidP="000C5398" w14:paraId="4C7A6C58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rStyle w:val="Strong"/>
        </w:rPr>
        <w:t xml:space="preserve">Lei Orgânica do Município de Mogi Mirim, Art. 12, I, Art. 31, XIV, Art. 32, XII e Art. 71, XXXVII: </w:t>
      </w:r>
      <w:r w:rsidRPr="000C5398">
        <w:rPr>
          <w:rStyle w:val="Strong"/>
          <w:b w:val="0"/>
        </w:rPr>
        <w:t xml:space="preserve">que dispõe sobre autorizar, aprovar e propor convênios. </w:t>
      </w:r>
    </w:p>
    <w:p w:rsidR="005C66B5" w:rsidRPr="000C5398" w:rsidP="000C5398" w14:paraId="14F64CC1" w14:textId="2562934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b/>
        </w:rPr>
        <w:t>Lei Complementar Federal n° 95/1998:</w:t>
      </w:r>
      <w:r w:rsidRPr="000C5398">
        <w:t xml:space="preserve"> dispõe sobre</w:t>
      </w:r>
      <w:r w:rsidRPr="000C5398" w:rsidR="001D3428">
        <w:t xml:space="preserve"> a</w:t>
      </w:r>
      <w:r w:rsidRPr="000C5398">
        <w:t xml:space="preserve"> escrita técnica legislativa.</w:t>
      </w:r>
    </w:p>
    <w:p w:rsidR="004B0509" w:rsidRPr="000C5398" w:rsidP="000C5398" w14:paraId="76D91A8E" w14:textId="6AE1C83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b/>
        </w:rPr>
        <w:t>Parecer</w:t>
      </w:r>
      <w:r w:rsidRPr="000C5398">
        <w:rPr>
          <w:b/>
        </w:rPr>
        <w:t xml:space="preserve"> da Secretaria de Negócios Jurídicos</w:t>
      </w:r>
      <w:r w:rsidRPr="000C5398">
        <w:t xml:space="preserve"> – Despacho nº 2110/2025</w:t>
      </w:r>
      <w:r w:rsidRPr="000C5398" w:rsidR="00624864">
        <w:t>.</w:t>
      </w:r>
    </w:p>
    <w:p w:rsidR="004B0509" w:rsidRPr="000C5398" w:rsidP="000C5398" w14:paraId="2A479D01" w14:textId="1228125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C5398">
        <w:rPr>
          <w:b/>
        </w:rPr>
        <w:t>Parecer Técnico da Secretaria da Cultura do Estado de São Paulo</w:t>
      </w:r>
      <w:r w:rsidRPr="000C5398">
        <w:t xml:space="preserve"> – Processo SCEC-PRC-2025-00304-DM.</w:t>
      </w:r>
    </w:p>
    <w:p w:rsidR="004B0509" w:rsidRPr="000C5398" w:rsidP="000C5398" w14:paraId="5F631F59" w14:textId="7B459B41">
      <w:pPr>
        <w:pStyle w:val="NormalWeb"/>
        <w:numPr>
          <w:ilvl w:val="0"/>
          <w:numId w:val="14"/>
        </w:numPr>
        <w:spacing w:line="360" w:lineRule="auto"/>
        <w:jc w:val="both"/>
      </w:pPr>
      <w:r w:rsidRPr="000C5398">
        <w:rPr>
          <w:b/>
        </w:rPr>
        <w:t>Supremo Tribunal Federal</w:t>
      </w:r>
      <w:r w:rsidRPr="000C5398" w:rsidR="001D3428">
        <w:rPr>
          <w:b/>
        </w:rPr>
        <w:t>, ADI nº 331/PB e RE nº 488.065</w:t>
      </w:r>
      <w:r w:rsidRPr="000C5398" w:rsidR="001D3428">
        <w:t xml:space="preserve">, admite a exigência de lei autorizativa para celebração de convênios, não configurando violação ao princípio da separação dos poderes. </w:t>
      </w:r>
    </w:p>
    <w:p w:rsidR="004B0509" w:rsidRPr="000C5398" w:rsidP="000C5398" w14:paraId="78B68E71" w14:textId="21798060">
      <w:pPr>
        <w:pStyle w:val="NormalWeb"/>
        <w:numPr>
          <w:ilvl w:val="0"/>
          <w:numId w:val="14"/>
        </w:numPr>
        <w:spacing w:line="360" w:lineRule="auto"/>
        <w:jc w:val="both"/>
      </w:pPr>
      <w:r w:rsidRPr="000C5398">
        <w:rPr>
          <w:b/>
        </w:rPr>
        <w:t>Tribunal Justiça de São Paulo</w:t>
      </w:r>
      <w:r w:rsidRPr="000C5398">
        <w:t xml:space="preserve">, </w:t>
      </w:r>
      <w:r w:rsidRPr="000C5398">
        <w:rPr>
          <w:b/>
        </w:rPr>
        <w:t>A</w:t>
      </w:r>
      <w:r w:rsidRPr="000C5398" w:rsidR="001D3428">
        <w:rPr>
          <w:b/>
        </w:rPr>
        <w:t>DI nº 2081571-22.2024.8.26.0000</w:t>
      </w:r>
      <w:r w:rsidRPr="000C5398" w:rsidR="001D3428">
        <w:t xml:space="preserve">, reconhece a constitucionalidade da norma local que exige autorização legislativa para convênios que possam gerar encargos ou compromissos gravosos ao município. </w:t>
      </w:r>
    </w:p>
    <w:p w:rsidR="004B0509" w:rsidRPr="000C5398" w:rsidP="000C5398" w14:paraId="0FD90459" w14:textId="77777777">
      <w:pPr>
        <w:pStyle w:val="NormalWeb"/>
        <w:spacing w:before="0" w:beforeAutospacing="0" w:line="360" w:lineRule="auto"/>
        <w:ind w:left="720"/>
        <w:jc w:val="both"/>
      </w:pPr>
    </w:p>
    <w:p w:rsidR="00A67DE2" w:rsidRPr="000C5398" w:rsidP="000C5398" w14:paraId="7FAD1FE7" w14:textId="77777777">
      <w:pPr>
        <w:pStyle w:val="NormalWeb"/>
        <w:spacing w:before="0" w:beforeAutospacing="0" w:line="360" w:lineRule="auto"/>
        <w:jc w:val="both"/>
      </w:pPr>
    </w:p>
    <w:p w:rsidR="00996888" w:rsidRPr="000C5398" w:rsidP="000C5398" w14:paraId="62D9D4D6" w14:textId="6BCC5BC3">
      <w:pPr>
        <w:pStyle w:val="NormalWeb"/>
        <w:spacing w:before="0" w:beforeAutospacing="0" w:line="360" w:lineRule="auto"/>
        <w:jc w:val="both"/>
      </w:pPr>
    </w:p>
    <w:p w:rsidR="005C66B5" w:rsidRPr="000C5398" w:rsidP="000C5398" w14:paraId="19E9480B" w14:textId="257D9FBF">
      <w:pPr>
        <w:pStyle w:val="NormalWeb"/>
        <w:spacing w:before="0" w:beforeAutospacing="0" w:line="360" w:lineRule="auto"/>
        <w:jc w:val="both"/>
      </w:pPr>
    </w:p>
    <w:p w:rsidR="005C66B5" w:rsidRPr="000C5398" w:rsidP="000C5398" w14:paraId="5F661C61" w14:textId="6B5BA5B4">
      <w:pPr>
        <w:pStyle w:val="NormalWeb"/>
        <w:spacing w:before="0" w:beforeAutospacing="0" w:line="360" w:lineRule="auto"/>
        <w:jc w:val="both"/>
      </w:pPr>
    </w:p>
    <w:p w:rsidR="005C66B5" w:rsidRPr="000C5398" w:rsidP="000C5398" w14:paraId="35F0DCE2" w14:textId="77777777">
      <w:pPr>
        <w:pStyle w:val="NormalWeb"/>
        <w:spacing w:before="0" w:beforeAutospacing="0" w:line="360" w:lineRule="auto"/>
        <w:jc w:val="both"/>
      </w:pPr>
    </w:p>
    <w:p w:rsidR="00BB62CD" w14:paraId="597181A1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53DA0" w:rsidRPr="000C5398" w:rsidP="000C5398" w14:paraId="4863718C" w14:textId="266A5CA9">
      <w:pPr>
        <w:spacing w:line="360" w:lineRule="auto"/>
        <w:jc w:val="both"/>
        <w:rPr>
          <w:b/>
          <w:sz w:val="24"/>
          <w:szCs w:val="24"/>
        </w:rPr>
      </w:pPr>
      <w:r w:rsidRPr="000C5398">
        <w:rPr>
          <w:b/>
          <w:sz w:val="24"/>
          <w:szCs w:val="24"/>
        </w:rPr>
        <w:t xml:space="preserve">PARECER DA COMISSÃO DE JUSTIÇA E REDAÇÃO, COMISSÃO DE EDUCAÇÃO, SAÚDE, CULTURA, ESPORTE E ASSISTÊNCIA SOCIAL E COMISSÃO DE FINANÇAS E ORÇAMENTO </w:t>
      </w:r>
      <w:r w:rsidRPr="000C5398" w:rsidR="005C66B5">
        <w:rPr>
          <w:b/>
          <w:sz w:val="24"/>
          <w:szCs w:val="24"/>
        </w:rPr>
        <w:t>AO PROJETO DE LEI N° 99</w:t>
      </w:r>
      <w:r w:rsidRPr="000C5398">
        <w:rPr>
          <w:b/>
          <w:sz w:val="24"/>
          <w:szCs w:val="24"/>
        </w:rPr>
        <w:t xml:space="preserve"> DE 2025 DE AUTORIA DO PREFEITO MUNICIPAL PAULO DE OLIVEIRA E SILVA.</w:t>
      </w:r>
    </w:p>
    <w:p w:rsidR="00F13148" w:rsidRPr="000C5398" w:rsidP="000C5398" w14:paraId="68DF435F" w14:textId="77777777">
      <w:pPr>
        <w:spacing w:line="360" w:lineRule="auto"/>
        <w:jc w:val="both"/>
        <w:rPr>
          <w:sz w:val="24"/>
          <w:szCs w:val="24"/>
        </w:rPr>
      </w:pPr>
    </w:p>
    <w:p w:rsidR="00F13148" w:rsidRPr="000C5398" w:rsidP="000C5398" w14:paraId="58287EA8" w14:textId="742D17D1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C5398">
        <w:rPr>
          <w:sz w:val="24"/>
          <w:szCs w:val="24"/>
        </w:rPr>
        <w:t>Seguindo o Voto exarado pelo Relator e conforme determina</w:t>
      </w:r>
      <w:r w:rsidRPr="000C5398" w:rsidR="00603CE4">
        <w:rPr>
          <w:sz w:val="24"/>
          <w:szCs w:val="24"/>
        </w:rPr>
        <w:t>m</w:t>
      </w:r>
      <w:r w:rsidRPr="000C5398">
        <w:rPr>
          <w:sz w:val="24"/>
          <w:szCs w:val="24"/>
        </w:rPr>
        <w:t xml:space="preserve"> o</w:t>
      </w:r>
      <w:r w:rsidRPr="000C5398" w:rsidR="00603CE4">
        <w:rPr>
          <w:sz w:val="24"/>
          <w:szCs w:val="24"/>
        </w:rPr>
        <w:t>s</w:t>
      </w:r>
      <w:r w:rsidRPr="000C5398">
        <w:rPr>
          <w:sz w:val="24"/>
          <w:szCs w:val="24"/>
        </w:rPr>
        <w:t xml:space="preserve"> artigo</w:t>
      </w:r>
      <w:r w:rsidRPr="000C5398" w:rsidR="00603CE4">
        <w:rPr>
          <w:sz w:val="24"/>
          <w:szCs w:val="24"/>
        </w:rPr>
        <w:t>s</w:t>
      </w:r>
      <w:r w:rsidRPr="000C5398">
        <w:rPr>
          <w:sz w:val="24"/>
          <w:szCs w:val="24"/>
        </w:rPr>
        <w:t xml:space="preserve"> 35</w:t>
      </w:r>
      <w:r w:rsidRPr="000C5398" w:rsidR="00996888">
        <w:rPr>
          <w:sz w:val="24"/>
          <w:szCs w:val="24"/>
        </w:rPr>
        <w:t>,</w:t>
      </w:r>
      <w:r w:rsidRPr="000C5398" w:rsidR="00603CE4">
        <w:rPr>
          <w:sz w:val="24"/>
          <w:szCs w:val="24"/>
        </w:rPr>
        <w:t xml:space="preserve"> 37</w:t>
      </w:r>
      <w:r w:rsidRPr="000C5398" w:rsidR="00996888">
        <w:rPr>
          <w:sz w:val="24"/>
          <w:szCs w:val="24"/>
        </w:rPr>
        <w:t xml:space="preserve"> e 38</w:t>
      </w:r>
      <w:r w:rsidRPr="000C5398" w:rsidR="00603CE4">
        <w:rPr>
          <w:sz w:val="24"/>
          <w:szCs w:val="24"/>
        </w:rPr>
        <w:t xml:space="preserve"> </w:t>
      </w:r>
      <w:r w:rsidRPr="000C5398">
        <w:rPr>
          <w:sz w:val="24"/>
          <w:szCs w:val="24"/>
        </w:rPr>
        <w:t xml:space="preserve">da Resolução n° 276 de 09 de novembro de 2010 a Comissão </w:t>
      </w:r>
      <w:r w:rsidRPr="000C5398" w:rsidR="00996888">
        <w:rPr>
          <w:sz w:val="24"/>
          <w:szCs w:val="24"/>
        </w:rPr>
        <w:t xml:space="preserve">Permanente de Justiça e Redação, </w:t>
      </w:r>
      <w:r>
        <w:rPr>
          <w:sz w:val="24"/>
          <w:szCs w:val="24"/>
        </w:rPr>
        <w:t>a Comissão d</w:t>
      </w:r>
      <w:r w:rsidRPr="00BB62CD">
        <w:rPr>
          <w:sz w:val="24"/>
          <w:szCs w:val="24"/>
        </w:rPr>
        <w:t>e Edu</w:t>
      </w:r>
      <w:r>
        <w:rPr>
          <w:sz w:val="24"/>
          <w:szCs w:val="24"/>
        </w:rPr>
        <w:t>cação, Saúde, Cultura, Esporte e</w:t>
      </w:r>
      <w:r w:rsidRPr="00BB62CD">
        <w:rPr>
          <w:sz w:val="24"/>
          <w:szCs w:val="24"/>
        </w:rPr>
        <w:t xml:space="preserve"> Assistência Social</w:t>
      </w:r>
      <w:r w:rsidRPr="000C5398">
        <w:rPr>
          <w:sz w:val="24"/>
          <w:szCs w:val="24"/>
        </w:rPr>
        <w:t xml:space="preserve"> </w:t>
      </w:r>
      <w:r w:rsidRPr="000C5398" w:rsidR="00996888">
        <w:rPr>
          <w:sz w:val="24"/>
          <w:szCs w:val="24"/>
        </w:rPr>
        <w:t>e Comissão de</w:t>
      </w:r>
      <w:r w:rsidRPr="000C5398" w:rsidR="00603CE4">
        <w:rPr>
          <w:sz w:val="24"/>
          <w:szCs w:val="24"/>
        </w:rPr>
        <w:t xml:space="preserve"> Finanças e Orçamento </w:t>
      </w:r>
      <w:r w:rsidRPr="000C5398">
        <w:rPr>
          <w:sz w:val="24"/>
          <w:szCs w:val="24"/>
        </w:rPr>
        <w:t>formaliza</w:t>
      </w:r>
      <w:r>
        <w:rPr>
          <w:sz w:val="24"/>
          <w:szCs w:val="24"/>
        </w:rPr>
        <w:t>m</w:t>
      </w:r>
      <w:r w:rsidRPr="000C5398">
        <w:rPr>
          <w:sz w:val="24"/>
          <w:szCs w:val="24"/>
        </w:rPr>
        <w:t xml:space="preserve"> o presente </w:t>
      </w:r>
      <w:r w:rsidRPr="00BB62CD">
        <w:rPr>
          <w:b/>
          <w:sz w:val="24"/>
          <w:szCs w:val="24"/>
        </w:rPr>
        <w:t>PARECER F</w:t>
      </w:r>
      <w:r w:rsidRPr="00BB62CD" w:rsidR="00353DA0">
        <w:rPr>
          <w:b/>
          <w:sz w:val="24"/>
          <w:szCs w:val="24"/>
        </w:rPr>
        <w:t>AVORÁVEL</w:t>
      </w:r>
      <w:r w:rsidRPr="000C5398" w:rsidR="00353DA0">
        <w:rPr>
          <w:sz w:val="24"/>
          <w:szCs w:val="24"/>
        </w:rPr>
        <w:t xml:space="preserve"> ao Projeto de Lei n° 99</w:t>
      </w:r>
      <w:r w:rsidRPr="000C5398">
        <w:rPr>
          <w:sz w:val="24"/>
          <w:szCs w:val="24"/>
        </w:rPr>
        <w:t xml:space="preserve"> de 2025.</w:t>
      </w:r>
    </w:p>
    <w:p w:rsidR="00F13148" w:rsidRPr="000C5398" w:rsidP="000C5398" w14:paraId="248FE97F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F13148" w:rsidRPr="000C5398" w:rsidP="000C5398" w14:paraId="77700D32" w14:textId="77777777">
      <w:pPr>
        <w:spacing w:line="360" w:lineRule="auto"/>
        <w:jc w:val="center"/>
        <w:rPr>
          <w:bCs/>
          <w:sz w:val="24"/>
          <w:szCs w:val="24"/>
        </w:rPr>
      </w:pPr>
    </w:p>
    <w:p w:rsidR="00F837DC" w:rsidRPr="000C5398" w:rsidP="00F837DC" w14:paraId="3235FC55" w14:textId="77777777">
      <w:pPr>
        <w:pStyle w:val="NormalWeb"/>
        <w:spacing w:line="360" w:lineRule="auto"/>
        <w:jc w:val="center"/>
      </w:pPr>
      <w:r w:rsidRPr="000C5398">
        <w:rPr>
          <w:rStyle w:val="Strong"/>
        </w:rPr>
        <w:t>SALA DAS SESSÕES “VEREADOR SANTO RÓTTOLI”, em 27 de agosto de 2025.</w:t>
      </w:r>
    </w:p>
    <w:p w:rsidR="00F518B8" w:rsidRPr="000C5398" w:rsidP="000C5398" w14:paraId="7D4CB6BB" w14:textId="77777777">
      <w:pPr>
        <w:spacing w:line="360" w:lineRule="auto"/>
        <w:jc w:val="center"/>
        <w:rPr>
          <w:bCs/>
          <w:sz w:val="24"/>
          <w:szCs w:val="24"/>
        </w:rPr>
      </w:pPr>
    </w:p>
    <w:p w:rsidR="00F518B8" w:rsidRPr="000C5398" w:rsidP="000C5398" w14:paraId="030B1B39" w14:textId="77777777">
      <w:pPr>
        <w:spacing w:line="360" w:lineRule="auto"/>
        <w:jc w:val="center"/>
        <w:rPr>
          <w:bCs/>
          <w:sz w:val="24"/>
          <w:szCs w:val="24"/>
        </w:rPr>
      </w:pPr>
    </w:p>
    <w:p w:rsidR="00F13148" w:rsidRPr="000C5398" w:rsidP="000C5398" w14:paraId="687175BA" w14:textId="77777777">
      <w:pPr>
        <w:spacing w:line="360" w:lineRule="auto"/>
        <w:jc w:val="center"/>
        <w:rPr>
          <w:bCs/>
          <w:sz w:val="24"/>
          <w:szCs w:val="24"/>
        </w:rPr>
      </w:pPr>
    </w:p>
    <w:p w:rsidR="00F13148" w:rsidRPr="000C5398" w:rsidP="000C5398" w14:paraId="63BE5A2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C5398">
        <w:rPr>
          <w:b/>
          <w:sz w:val="24"/>
          <w:szCs w:val="24"/>
          <w:u w:val="single"/>
        </w:rPr>
        <w:t>COMISSÃO DE JUSTIÇA E REDAÇÃO</w:t>
      </w:r>
    </w:p>
    <w:p w:rsidR="00F13148" w:rsidRPr="000C5398" w:rsidP="000C5398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0C5398">
        <w:rPr>
          <w:bCs/>
          <w:i/>
          <w:sz w:val="24"/>
          <w:szCs w:val="24"/>
        </w:rPr>
        <w:t>(</w:t>
      </w:r>
      <w:r w:rsidRPr="000C5398">
        <w:rPr>
          <w:bCs/>
          <w:i/>
          <w:sz w:val="24"/>
          <w:szCs w:val="24"/>
        </w:rPr>
        <w:t>assinado</w:t>
      </w:r>
      <w:r w:rsidRPr="000C5398">
        <w:rPr>
          <w:bCs/>
          <w:i/>
          <w:sz w:val="24"/>
          <w:szCs w:val="24"/>
        </w:rPr>
        <w:t xml:space="preserve"> digitalmente)</w:t>
      </w:r>
    </w:p>
    <w:p w:rsidR="00F13148" w:rsidRPr="00BB62CD" w:rsidP="000C5398" w14:paraId="6C26F1DF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WAGNER RICARDO PEREIRA</w:t>
      </w:r>
    </w:p>
    <w:p w:rsidR="00F13148" w:rsidRPr="00BB62CD" w:rsidP="000C5398" w14:paraId="2D19F49E" w14:textId="674E221C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Presidente</w:t>
      </w:r>
    </w:p>
    <w:p w:rsidR="00F13148" w:rsidRPr="00BB62CD" w:rsidP="000C5398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F13148" w:rsidRPr="00BB62CD" w:rsidP="000C5398" w14:paraId="7AE66CD4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MANOEL EDUARDO PEREIRA DA CRUZ PALOMINO</w:t>
      </w:r>
    </w:p>
    <w:p w:rsidR="00F13148" w:rsidRPr="00BB62CD" w:rsidP="000C5398" w14:paraId="74EA0317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Vice-Presidente</w:t>
      </w:r>
    </w:p>
    <w:p w:rsidR="00F13148" w:rsidRPr="00BB62CD" w:rsidP="000C5398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F13148" w:rsidRPr="00BB62CD" w:rsidP="000C5398" w14:paraId="2D93895A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JOÃO VICTOR GASPARINI</w:t>
      </w:r>
    </w:p>
    <w:p w:rsidR="00BB62CD" w:rsidP="000C5398" w14:paraId="10091CF6" w14:textId="68372552">
      <w:pPr>
        <w:spacing w:line="360" w:lineRule="auto"/>
        <w:jc w:val="center"/>
        <w:rPr>
          <w:sz w:val="24"/>
          <w:szCs w:val="24"/>
        </w:rPr>
      </w:pPr>
      <w:r w:rsidRPr="000C5398">
        <w:rPr>
          <w:sz w:val="24"/>
          <w:szCs w:val="24"/>
        </w:rPr>
        <w:t>Membro</w:t>
      </w:r>
      <w:r>
        <w:rPr>
          <w:sz w:val="24"/>
          <w:szCs w:val="24"/>
        </w:rPr>
        <w:t>/Relator</w:t>
      </w:r>
    </w:p>
    <w:p w:rsidR="00BB62CD" w14:paraId="269FB2FA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3148" w:rsidRPr="000C5398" w:rsidP="000C5398" w14:paraId="2EF42B8A" w14:textId="77777777">
      <w:pPr>
        <w:spacing w:line="360" w:lineRule="auto"/>
        <w:jc w:val="center"/>
        <w:rPr>
          <w:sz w:val="24"/>
          <w:szCs w:val="24"/>
        </w:rPr>
      </w:pPr>
    </w:p>
    <w:p w:rsidR="005C66B5" w:rsidRPr="000C5398" w:rsidP="000C5398" w14:paraId="7F26A3F4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C5398">
        <w:rPr>
          <w:b/>
          <w:sz w:val="24"/>
          <w:szCs w:val="24"/>
          <w:u w:val="single"/>
        </w:rPr>
        <w:t>COMISSÃO DE EDUCAÇÃO, SAÚDE, CULTURA, ESPORTE E ASSISTÊNCIA SOCIAL</w:t>
      </w:r>
    </w:p>
    <w:p w:rsidR="005C66B5" w:rsidRPr="000C5398" w:rsidP="000C5398" w14:paraId="4E10B440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C5398">
        <w:rPr>
          <w:bCs/>
          <w:i/>
          <w:sz w:val="24"/>
          <w:szCs w:val="24"/>
        </w:rPr>
        <w:t>(</w:t>
      </w:r>
      <w:r w:rsidRPr="000C5398">
        <w:rPr>
          <w:bCs/>
          <w:i/>
          <w:sz w:val="24"/>
          <w:szCs w:val="24"/>
        </w:rPr>
        <w:t>assinado</w:t>
      </w:r>
      <w:r w:rsidRPr="000C5398">
        <w:rPr>
          <w:bCs/>
          <w:i/>
          <w:sz w:val="24"/>
          <w:szCs w:val="24"/>
        </w:rPr>
        <w:t xml:space="preserve"> digitalmente)</w:t>
      </w:r>
    </w:p>
    <w:p w:rsidR="005C66B5" w:rsidRPr="00BB62CD" w:rsidP="000C5398" w14:paraId="71DFD84F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ERNANI LUIZ DONATTI GRAGNANELLO</w:t>
      </w:r>
    </w:p>
    <w:p w:rsidR="005C66B5" w:rsidRPr="00BB62CD" w:rsidP="000C5398" w14:paraId="337A3F78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Presidente</w:t>
      </w:r>
    </w:p>
    <w:p w:rsidR="005C66B5" w:rsidRPr="00BB62CD" w:rsidP="000C5398" w14:paraId="31CFB5A4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5C66B5" w:rsidRPr="00BB62CD" w:rsidP="000C5398" w14:paraId="08781E3D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EVERTON BOMBARDA</w:t>
      </w:r>
    </w:p>
    <w:p w:rsidR="005C66B5" w:rsidRPr="00BB62CD" w:rsidP="000C5398" w14:paraId="032CAC7B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Vice-Presidente</w:t>
      </w:r>
    </w:p>
    <w:p w:rsidR="005C66B5" w:rsidRPr="00BB62CD" w:rsidP="000C5398" w14:paraId="62970FE5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5C66B5" w:rsidRPr="00BB62CD" w:rsidP="000C5398" w14:paraId="5849A05A" w14:textId="77777777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</w:t>
      </w:r>
      <w:bookmarkStart w:id="0" w:name="_GoBack"/>
      <w:bookmarkEnd w:id="0"/>
      <w:r w:rsidRPr="00BB62CD">
        <w:rPr>
          <w:b/>
          <w:sz w:val="24"/>
          <w:szCs w:val="24"/>
        </w:rPr>
        <w:t>ADOR WILIANS MENDES DE OLIVEIRA</w:t>
      </w:r>
    </w:p>
    <w:p w:rsidR="005C66B5" w:rsidP="000C5398" w14:paraId="1B998692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Membro</w:t>
      </w:r>
    </w:p>
    <w:p w:rsidR="00BB62CD" w:rsidRPr="00BB62CD" w:rsidP="000C5398" w14:paraId="57A1E1C8" w14:textId="77777777">
      <w:pPr>
        <w:spacing w:line="360" w:lineRule="auto"/>
        <w:jc w:val="center"/>
        <w:rPr>
          <w:sz w:val="24"/>
          <w:szCs w:val="24"/>
        </w:rPr>
      </w:pPr>
    </w:p>
    <w:p w:rsidR="00603CE4" w:rsidRPr="000C5398" w:rsidP="000C5398" w14:paraId="0A54958F" w14:textId="7456928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603CE4" w:rsidRPr="000C5398" w:rsidP="000C5398" w14:paraId="2929BC78" w14:textId="7C667A4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C5398">
        <w:rPr>
          <w:b/>
          <w:sz w:val="24"/>
          <w:szCs w:val="24"/>
          <w:u w:val="single"/>
        </w:rPr>
        <w:t>COMISSÃO DE FINANÇAS E ORÇAMENTO</w:t>
      </w:r>
    </w:p>
    <w:p w:rsidR="00603CE4" w:rsidRPr="000C5398" w:rsidP="000C5398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0C5398">
        <w:rPr>
          <w:bCs/>
          <w:i/>
          <w:sz w:val="24"/>
          <w:szCs w:val="24"/>
        </w:rPr>
        <w:t>(</w:t>
      </w:r>
      <w:r w:rsidRPr="000C5398">
        <w:rPr>
          <w:bCs/>
          <w:i/>
          <w:sz w:val="24"/>
          <w:szCs w:val="24"/>
        </w:rPr>
        <w:t>assinado</w:t>
      </w:r>
      <w:r w:rsidRPr="000C5398">
        <w:rPr>
          <w:bCs/>
          <w:i/>
          <w:sz w:val="24"/>
          <w:szCs w:val="24"/>
        </w:rPr>
        <w:t xml:space="preserve"> digitalmente)</w:t>
      </w:r>
    </w:p>
    <w:p w:rsidR="00603CE4" w:rsidRPr="00BB62CD" w:rsidP="000C5398" w14:paraId="6734E542" w14:textId="03B3A82C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VEREADORA MARA CRISTINA CHOQUETTA</w:t>
      </w:r>
    </w:p>
    <w:p w:rsidR="00603CE4" w:rsidRPr="00BB62CD" w:rsidP="000C5398" w14:paraId="614982CD" w14:textId="73E7A9C9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Presidente</w:t>
      </w:r>
    </w:p>
    <w:p w:rsidR="00603CE4" w:rsidRPr="00BB62CD" w:rsidP="000C5398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603CE4" w:rsidRPr="00BB62CD" w:rsidP="000C5398" w14:paraId="734C0631" w14:textId="46968840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MÁRCIO DENER CORAN</w:t>
      </w:r>
    </w:p>
    <w:p w:rsidR="00603CE4" w:rsidRPr="00BB62CD" w:rsidP="000C5398" w14:paraId="3EA0751C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Vice-Presidente</w:t>
      </w:r>
    </w:p>
    <w:p w:rsidR="00603CE4" w:rsidRPr="00BB62CD" w:rsidP="000C5398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BB62CD">
        <w:rPr>
          <w:bCs/>
          <w:i/>
          <w:sz w:val="24"/>
          <w:szCs w:val="24"/>
        </w:rPr>
        <w:t>(</w:t>
      </w:r>
      <w:r w:rsidRPr="00BB62CD">
        <w:rPr>
          <w:bCs/>
          <w:i/>
          <w:sz w:val="24"/>
          <w:szCs w:val="24"/>
        </w:rPr>
        <w:t>assinado</w:t>
      </w:r>
      <w:r w:rsidRPr="00BB62CD">
        <w:rPr>
          <w:bCs/>
          <w:i/>
          <w:sz w:val="24"/>
          <w:szCs w:val="24"/>
        </w:rPr>
        <w:t xml:space="preserve"> digitalmente)</w:t>
      </w:r>
    </w:p>
    <w:p w:rsidR="00603CE4" w:rsidRPr="00BB62CD" w:rsidP="000C5398" w14:paraId="0A0BF8F9" w14:textId="20D7241F">
      <w:pPr>
        <w:spacing w:line="360" w:lineRule="auto"/>
        <w:jc w:val="center"/>
        <w:rPr>
          <w:b/>
          <w:sz w:val="24"/>
          <w:szCs w:val="24"/>
        </w:rPr>
      </w:pPr>
      <w:r w:rsidRPr="00BB62CD">
        <w:rPr>
          <w:b/>
          <w:sz w:val="24"/>
          <w:szCs w:val="24"/>
        </w:rPr>
        <w:t>VEREADOR MARCOS PAULO CEGATTI</w:t>
      </w:r>
    </w:p>
    <w:p w:rsidR="00603CE4" w:rsidRPr="00BB62CD" w:rsidP="000C5398" w14:paraId="085B1D83" w14:textId="77777777">
      <w:pPr>
        <w:spacing w:line="360" w:lineRule="auto"/>
        <w:jc w:val="center"/>
        <w:rPr>
          <w:sz w:val="24"/>
          <w:szCs w:val="24"/>
        </w:rPr>
      </w:pPr>
      <w:r w:rsidRPr="00BB62CD">
        <w:rPr>
          <w:sz w:val="24"/>
          <w:szCs w:val="24"/>
        </w:rPr>
        <w:t>Membro</w:t>
      </w:r>
    </w:p>
    <w:p w:rsidR="00F13148" w:rsidRPr="000C5398" w:rsidP="000C539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20165D" w:rsidRPr="00F733EC" w:rsidP="000C5398" w14:paraId="397E35B9" w14:textId="05220866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 xml:space="preserve">Gabinete do Vereador </w:t>
    </w:r>
    <w:r w:rsidR="000C5398">
      <w:rPr>
        <w:rFonts w:ascii="Bookman Old Style" w:eastAsia="Arial" w:hAnsi="Bookman Old Style" w:cs="Arial"/>
        <w:b/>
        <w:color w:val="000000"/>
        <w:sz w:val="24"/>
        <w:szCs w:val="24"/>
      </w:rPr>
      <w:t>João Victor Gasparini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8C60FA"/>
    <w:multiLevelType w:val="multilevel"/>
    <w:tmpl w:val="2D34A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F4847"/>
    <w:multiLevelType w:val="multilevel"/>
    <w:tmpl w:val="F9DAD7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43CB6"/>
    <w:multiLevelType w:val="multilevel"/>
    <w:tmpl w:val="892CC7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7C87"/>
    <w:multiLevelType w:val="multilevel"/>
    <w:tmpl w:val="0EFAE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F1676"/>
    <w:multiLevelType w:val="multilevel"/>
    <w:tmpl w:val="A06E1C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03F4D"/>
    <w:multiLevelType w:val="multilevel"/>
    <w:tmpl w:val="5EDA39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9D16B7"/>
    <w:multiLevelType w:val="multilevel"/>
    <w:tmpl w:val="2C0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F5844"/>
    <w:multiLevelType w:val="multilevel"/>
    <w:tmpl w:val="04022E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A4675"/>
    <w:multiLevelType w:val="multilevel"/>
    <w:tmpl w:val="62CCB8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8"/>
  </w:num>
  <w:num w:numId="6">
    <w:abstractNumId w:val="21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4"/>
  </w:num>
  <w:num w:numId="13">
    <w:abstractNumId w:val="0"/>
  </w:num>
  <w:num w:numId="14">
    <w:abstractNumId w:val="3"/>
  </w:num>
  <w:num w:numId="15">
    <w:abstractNumId w:val="16"/>
  </w:num>
  <w:num w:numId="16">
    <w:abstractNumId w:val="20"/>
  </w:num>
  <w:num w:numId="17">
    <w:abstractNumId w:val="22"/>
  </w:num>
  <w:num w:numId="18">
    <w:abstractNumId w:val="15"/>
  </w:num>
  <w:num w:numId="19">
    <w:abstractNumId w:val="11"/>
  </w:num>
  <w:num w:numId="20">
    <w:abstractNumId w:val="19"/>
  </w:num>
  <w:num w:numId="21">
    <w:abstractNumId w:val="23"/>
  </w:num>
  <w:num w:numId="22">
    <w:abstractNumId w:val="12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C5398"/>
    <w:rsid w:val="000E49AD"/>
    <w:rsid w:val="000F1F6F"/>
    <w:rsid w:val="000F4933"/>
    <w:rsid w:val="00126AE5"/>
    <w:rsid w:val="00140A94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1D3428"/>
    <w:rsid w:val="0020165D"/>
    <w:rsid w:val="00213987"/>
    <w:rsid w:val="00227E2C"/>
    <w:rsid w:val="00234376"/>
    <w:rsid w:val="002347A6"/>
    <w:rsid w:val="0027672A"/>
    <w:rsid w:val="00291486"/>
    <w:rsid w:val="00297379"/>
    <w:rsid w:val="002A0A87"/>
    <w:rsid w:val="002A2BD3"/>
    <w:rsid w:val="002B71AC"/>
    <w:rsid w:val="002F3157"/>
    <w:rsid w:val="002F34B4"/>
    <w:rsid w:val="003121C8"/>
    <w:rsid w:val="00314B47"/>
    <w:rsid w:val="00322469"/>
    <w:rsid w:val="00324464"/>
    <w:rsid w:val="00346786"/>
    <w:rsid w:val="00353DA0"/>
    <w:rsid w:val="003546F1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3711D"/>
    <w:rsid w:val="004424A6"/>
    <w:rsid w:val="00446FA1"/>
    <w:rsid w:val="00456770"/>
    <w:rsid w:val="00464667"/>
    <w:rsid w:val="00497A43"/>
    <w:rsid w:val="004A44D5"/>
    <w:rsid w:val="004B0509"/>
    <w:rsid w:val="004B6FDF"/>
    <w:rsid w:val="004D46DA"/>
    <w:rsid w:val="004E458F"/>
    <w:rsid w:val="004E6092"/>
    <w:rsid w:val="005242B1"/>
    <w:rsid w:val="00543E03"/>
    <w:rsid w:val="005559D9"/>
    <w:rsid w:val="0055728D"/>
    <w:rsid w:val="005602E3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C66B5"/>
    <w:rsid w:val="005D21C6"/>
    <w:rsid w:val="005E491E"/>
    <w:rsid w:val="005F2654"/>
    <w:rsid w:val="005F4E55"/>
    <w:rsid w:val="005F54DA"/>
    <w:rsid w:val="00603CE4"/>
    <w:rsid w:val="00613747"/>
    <w:rsid w:val="00620972"/>
    <w:rsid w:val="00624864"/>
    <w:rsid w:val="006553FA"/>
    <w:rsid w:val="00655A35"/>
    <w:rsid w:val="006575C7"/>
    <w:rsid w:val="00657B9A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46224"/>
    <w:rsid w:val="00753ABE"/>
    <w:rsid w:val="007556D8"/>
    <w:rsid w:val="0078178E"/>
    <w:rsid w:val="00784CD4"/>
    <w:rsid w:val="00785E1B"/>
    <w:rsid w:val="007A08D1"/>
    <w:rsid w:val="007B2789"/>
    <w:rsid w:val="007B6058"/>
    <w:rsid w:val="007C6029"/>
    <w:rsid w:val="007D4B66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8E7CD0"/>
    <w:rsid w:val="00902EE1"/>
    <w:rsid w:val="009048A2"/>
    <w:rsid w:val="00904ADF"/>
    <w:rsid w:val="00914ADC"/>
    <w:rsid w:val="00920A3F"/>
    <w:rsid w:val="00925E1A"/>
    <w:rsid w:val="00954D3A"/>
    <w:rsid w:val="009709EF"/>
    <w:rsid w:val="0098102A"/>
    <w:rsid w:val="00996280"/>
    <w:rsid w:val="00996888"/>
    <w:rsid w:val="009D56B8"/>
    <w:rsid w:val="009D6B7C"/>
    <w:rsid w:val="00A00E3E"/>
    <w:rsid w:val="00A030E7"/>
    <w:rsid w:val="00A032CD"/>
    <w:rsid w:val="00A12DD9"/>
    <w:rsid w:val="00A164DC"/>
    <w:rsid w:val="00A27446"/>
    <w:rsid w:val="00A479DE"/>
    <w:rsid w:val="00A672C0"/>
    <w:rsid w:val="00A67DE2"/>
    <w:rsid w:val="00A71DDA"/>
    <w:rsid w:val="00A77061"/>
    <w:rsid w:val="00A92E38"/>
    <w:rsid w:val="00AB4F8B"/>
    <w:rsid w:val="00AB5A42"/>
    <w:rsid w:val="00AD2770"/>
    <w:rsid w:val="00AE5858"/>
    <w:rsid w:val="00AF0C05"/>
    <w:rsid w:val="00AF3296"/>
    <w:rsid w:val="00AF4AC7"/>
    <w:rsid w:val="00B57090"/>
    <w:rsid w:val="00BA48C7"/>
    <w:rsid w:val="00BB62CD"/>
    <w:rsid w:val="00BD04BA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B5D49"/>
    <w:rsid w:val="00CC3E72"/>
    <w:rsid w:val="00CE2176"/>
    <w:rsid w:val="00CF288D"/>
    <w:rsid w:val="00D17E31"/>
    <w:rsid w:val="00D233F3"/>
    <w:rsid w:val="00D27EE0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9258F"/>
    <w:rsid w:val="00DA7AB4"/>
    <w:rsid w:val="00DB5081"/>
    <w:rsid w:val="00DC32F0"/>
    <w:rsid w:val="00DE2A9A"/>
    <w:rsid w:val="00DE722D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62CDF"/>
    <w:rsid w:val="00E72CB6"/>
    <w:rsid w:val="00E7438B"/>
    <w:rsid w:val="00E81D6E"/>
    <w:rsid w:val="00EA0447"/>
    <w:rsid w:val="00EA207D"/>
    <w:rsid w:val="00EA375D"/>
    <w:rsid w:val="00EA4E83"/>
    <w:rsid w:val="00EB1570"/>
    <w:rsid w:val="00EB3C9A"/>
    <w:rsid w:val="00EB4BDA"/>
    <w:rsid w:val="00EC5677"/>
    <w:rsid w:val="00ED7D93"/>
    <w:rsid w:val="00EE457C"/>
    <w:rsid w:val="00EF4DE4"/>
    <w:rsid w:val="00EF630E"/>
    <w:rsid w:val="00F01140"/>
    <w:rsid w:val="00F10F57"/>
    <w:rsid w:val="00F13148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837DC"/>
    <w:rsid w:val="00F91A1F"/>
    <w:rsid w:val="00F921DB"/>
    <w:rsid w:val="00FA2D54"/>
    <w:rsid w:val="00FA65BC"/>
    <w:rsid w:val="00FC1D4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1602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5</cp:revision>
  <cp:lastPrinted>2025-02-18T14:53:00Z</cp:lastPrinted>
  <dcterms:created xsi:type="dcterms:W3CDTF">2025-08-22T12:16:00Z</dcterms:created>
  <dcterms:modified xsi:type="dcterms:W3CDTF">2025-08-27T18:33:00Z</dcterms:modified>
</cp:coreProperties>
</file>