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C926D0" w:rsidP="003C7058" w14:paraId="73E63545" w14:textId="77777777">
      <w:pPr>
        <w:pBdr>
          <w:top w:val="nil"/>
          <w:left w:val="nil"/>
          <w:bottom w:val="nil"/>
          <w:right w:val="nil"/>
          <w:between w:val="nil"/>
        </w:pBdr>
        <w:spacing w:line="360" w:lineRule="auto"/>
        <w:jc w:val="both"/>
        <w:rPr>
          <w:b/>
          <w:color w:val="000000"/>
          <w:sz w:val="24"/>
          <w:szCs w:val="24"/>
        </w:rPr>
      </w:pPr>
    </w:p>
    <w:p w:rsidR="00AD2770" w:rsidRPr="00C926D0" w:rsidP="003C7058" w14:paraId="61969891" w14:textId="77777777">
      <w:pPr>
        <w:pBdr>
          <w:top w:val="nil"/>
          <w:left w:val="nil"/>
          <w:bottom w:val="nil"/>
          <w:right w:val="nil"/>
          <w:between w:val="nil"/>
        </w:pBdr>
        <w:spacing w:line="360" w:lineRule="auto"/>
        <w:jc w:val="both"/>
        <w:rPr>
          <w:b/>
          <w:color w:val="000000"/>
          <w:sz w:val="24"/>
          <w:szCs w:val="24"/>
        </w:rPr>
      </w:pPr>
    </w:p>
    <w:p w:rsidR="005242B1" w:rsidRPr="00C926D0" w:rsidP="003C7058" w14:paraId="196BD59A" w14:textId="77777777">
      <w:pPr>
        <w:pBdr>
          <w:top w:val="nil"/>
          <w:left w:val="nil"/>
          <w:bottom w:val="nil"/>
          <w:right w:val="nil"/>
          <w:between w:val="nil"/>
        </w:pBdr>
        <w:spacing w:line="360" w:lineRule="auto"/>
        <w:jc w:val="both"/>
        <w:rPr>
          <w:b/>
          <w:color w:val="000000"/>
          <w:sz w:val="24"/>
          <w:szCs w:val="24"/>
        </w:rPr>
      </w:pPr>
    </w:p>
    <w:p w:rsidR="005242B1" w:rsidRPr="00C926D0" w:rsidP="003C7058" w14:paraId="58EE40B2" w14:textId="77777777">
      <w:pPr>
        <w:pBdr>
          <w:top w:val="nil"/>
          <w:left w:val="nil"/>
          <w:bottom w:val="nil"/>
          <w:right w:val="nil"/>
          <w:between w:val="nil"/>
        </w:pBdr>
        <w:spacing w:line="360" w:lineRule="auto"/>
        <w:jc w:val="both"/>
        <w:rPr>
          <w:b/>
          <w:color w:val="000000"/>
          <w:sz w:val="24"/>
          <w:szCs w:val="24"/>
        </w:rPr>
      </w:pPr>
    </w:p>
    <w:p w:rsidR="00322469" w:rsidRPr="00C926D0" w:rsidP="003C7058" w14:paraId="0380B7DA" w14:textId="361CA97F">
      <w:pPr>
        <w:pBdr>
          <w:top w:val="nil"/>
          <w:left w:val="nil"/>
          <w:bottom w:val="nil"/>
          <w:right w:val="nil"/>
          <w:between w:val="nil"/>
        </w:pBdr>
        <w:spacing w:line="360" w:lineRule="auto"/>
        <w:jc w:val="center"/>
        <w:rPr>
          <w:b/>
          <w:color w:val="000000"/>
          <w:sz w:val="24"/>
          <w:szCs w:val="24"/>
        </w:rPr>
      </w:pPr>
      <w:r w:rsidRPr="00C926D0">
        <w:rPr>
          <w:b/>
          <w:color w:val="000000"/>
          <w:sz w:val="24"/>
          <w:szCs w:val="24"/>
        </w:rPr>
        <w:t>RELATÓRIO</w:t>
      </w:r>
    </w:p>
    <w:p w:rsidR="00322469" w:rsidRPr="00C926D0" w:rsidP="003C7058" w14:paraId="7C19DA44" w14:textId="77777777">
      <w:pPr>
        <w:pBdr>
          <w:top w:val="nil"/>
          <w:left w:val="nil"/>
          <w:bottom w:val="nil"/>
          <w:right w:val="nil"/>
          <w:between w:val="nil"/>
        </w:pBdr>
        <w:spacing w:line="360" w:lineRule="auto"/>
        <w:jc w:val="center"/>
        <w:rPr>
          <w:b/>
          <w:sz w:val="24"/>
          <w:szCs w:val="24"/>
        </w:rPr>
      </w:pPr>
    </w:p>
    <w:p w:rsidR="0024645C" w:rsidRPr="00C926D0" w:rsidP="003C7058" w14:paraId="45811A66" w14:textId="126E0BAF">
      <w:pPr>
        <w:pStyle w:val="NormalWeb"/>
        <w:spacing w:line="360" w:lineRule="auto"/>
        <w:jc w:val="center"/>
        <w:rPr>
          <w:rStyle w:val="Strong"/>
          <w:color w:val="404040"/>
        </w:rPr>
      </w:pPr>
      <w:r w:rsidRPr="00C926D0">
        <w:rPr>
          <w:rStyle w:val="Strong"/>
          <w:color w:val="404040"/>
        </w:rPr>
        <w:t xml:space="preserve">PROJETO DE LEI Nº </w:t>
      </w:r>
      <w:r w:rsidR="0042475C">
        <w:rPr>
          <w:rStyle w:val="Strong"/>
          <w:color w:val="404040"/>
        </w:rPr>
        <w:t>85</w:t>
      </w:r>
      <w:r w:rsidRPr="00C926D0" w:rsidR="00F74441">
        <w:rPr>
          <w:rStyle w:val="Strong"/>
          <w:color w:val="404040"/>
        </w:rPr>
        <w:t xml:space="preserve"> DE 20</w:t>
      </w:r>
      <w:r w:rsidR="003C7058">
        <w:rPr>
          <w:rStyle w:val="Strong"/>
          <w:color w:val="404040"/>
        </w:rPr>
        <w:t>2</w:t>
      </w:r>
      <w:r w:rsidRPr="00C926D0" w:rsidR="00F74441">
        <w:rPr>
          <w:rStyle w:val="Strong"/>
          <w:color w:val="404040"/>
        </w:rPr>
        <w:t>5</w:t>
      </w:r>
    </w:p>
    <w:p w:rsidR="00F74441" w:rsidRPr="00C926D0" w:rsidP="003C7058" w14:paraId="4DE9CBF8" w14:textId="22C2E48F">
      <w:pPr>
        <w:pStyle w:val="NormalWeb"/>
        <w:spacing w:line="360" w:lineRule="auto"/>
        <w:jc w:val="both"/>
        <w:rPr>
          <w:b/>
          <w:bCs/>
          <w:color w:val="404040"/>
        </w:rPr>
      </w:pPr>
      <w:r>
        <w:rPr>
          <w:rStyle w:val="Emphasis"/>
          <w:color w:val="404040"/>
        </w:rPr>
        <w:t>Autoriza</w:t>
      </w:r>
      <w:r w:rsidR="00896E82">
        <w:rPr>
          <w:rStyle w:val="Emphasis"/>
          <w:color w:val="404040"/>
        </w:rPr>
        <w:t xml:space="preserve"> </w:t>
      </w:r>
      <w:r w:rsidRPr="00896E82" w:rsidR="00896E82">
        <w:rPr>
          <w:rStyle w:val="Emphasis"/>
          <w:color w:val="404040"/>
        </w:rPr>
        <w:t>o Município de Mogi Mirim, pela Administração direta e indireta, a celebrar convênio com o Governo Federal, por meio do Ministério da Fazenda, pela Procuradoria-Geral da Fazenda Nacional (PGFN), para o fim que específica e dá outras providências</w:t>
      </w:r>
      <w:r w:rsidR="00896E82">
        <w:rPr>
          <w:rStyle w:val="Emphasis"/>
          <w:color w:val="404040"/>
        </w:rPr>
        <w:t>.</w:t>
      </w:r>
    </w:p>
    <w:p w:rsidR="00F74441" w:rsidRPr="00C926D0" w:rsidP="003C7058" w14:paraId="1D42C3C2" w14:textId="77777777">
      <w:pPr>
        <w:pStyle w:val="NormalWeb"/>
        <w:spacing w:line="360" w:lineRule="auto"/>
        <w:jc w:val="both"/>
        <w:rPr>
          <w:color w:val="404040"/>
        </w:rPr>
      </w:pPr>
      <w:r w:rsidRPr="00C926D0">
        <w:rPr>
          <w:rStyle w:val="Strong"/>
          <w:color w:val="404040"/>
        </w:rPr>
        <w:t>RELATOR: VEREADOR JOÃO VICTOR GASPARINI</w:t>
      </w:r>
    </w:p>
    <w:p w:rsidR="00F74441" w:rsidRPr="00C926D0" w:rsidP="003C7058" w14:paraId="255CBB13" w14:textId="77777777">
      <w:pPr>
        <w:spacing w:line="360" w:lineRule="auto"/>
        <w:jc w:val="both"/>
        <w:rPr>
          <w:sz w:val="24"/>
          <w:szCs w:val="24"/>
        </w:rPr>
      </w:pPr>
      <w:r>
        <w:rPr>
          <w:sz w:val="24"/>
          <w:szCs w:val="24"/>
        </w:rPr>
        <w:pict>
          <v:rect id="_x0000_i1025" style="width:0;height:0.75pt" o:hralign="center" o:hrstd="t" o:hrnoshade="t" o:hr="t" fillcolor="#404040" stroked="f"/>
        </w:pict>
      </w:r>
    </w:p>
    <w:p w:rsidR="00F74441" w:rsidRPr="00C926D0" w:rsidP="003C7058" w14:paraId="71819A52" w14:textId="77777777">
      <w:pPr>
        <w:pStyle w:val="Heading3"/>
        <w:spacing w:line="360" w:lineRule="auto"/>
        <w:jc w:val="both"/>
        <w:rPr>
          <w:color w:val="404040"/>
          <w:sz w:val="24"/>
          <w:szCs w:val="24"/>
        </w:rPr>
      </w:pPr>
      <w:r w:rsidRPr="00C926D0">
        <w:rPr>
          <w:rStyle w:val="Strong"/>
          <w:b/>
          <w:bCs w:val="0"/>
          <w:color w:val="404040"/>
          <w:sz w:val="24"/>
          <w:szCs w:val="24"/>
        </w:rPr>
        <w:t>I - EXPOSIÇÃO DA MATÉRIA EM EXAME</w:t>
      </w:r>
    </w:p>
    <w:p w:rsidR="00896E82" w:rsidP="003C7058" w14:paraId="10F2E2F9" w14:textId="2430541C">
      <w:pPr>
        <w:pStyle w:val="NormalWeb"/>
        <w:spacing w:line="360" w:lineRule="auto"/>
        <w:jc w:val="both"/>
      </w:pPr>
      <w:r w:rsidRPr="00C926D0">
        <w:rPr>
          <w:color w:val="404040"/>
        </w:rPr>
        <w:tab/>
      </w:r>
      <w:r>
        <w:t>Trata-se</w:t>
      </w:r>
      <w:r>
        <w:t xml:space="preserve"> da análise do </w:t>
      </w:r>
      <w:r>
        <w:rPr>
          <w:rStyle w:val="Strong"/>
        </w:rPr>
        <w:t>Projeto de Lei nº 85/2025</w:t>
      </w:r>
      <w:r>
        <w:t>, de iniciativa do Chefe do Poder Executivo, que “autoriza o Município de Mogi Mirim, pela Administração direta e indireta, a celebrar convênio com o Governo Federal, por meio do Ministério da Fazenda, pela Procuradoria-Geral da Fazenda Nacional (PGFN), para o fim que específica e dá outras providências” (Projeto de Lei nº 85/2025, ementa). O art. 1º do projeto explicita que o objeto é o “</w:t>
      </w:r>
      <w:r>
        <w:rPr>
          <w:rStyle w:val="Strong"/>
        </w:rPr>
        <w:t>registro de devedores de dívida ativa</w:t>
      </w:r>
      <w:r>
        <w:t xml:space="preserve"> no </w:t>
      </w:r>
      <w:r>
        <w:rPr>
          <w:rStyle w:val="Strong"/>
        </w:rPr>
        <w:t>Cadastro Informativo de Créditos não Quitados do Setor Público Federal – CADIN</w:t>
      </w:r>
      <w:r>
        <w:t xml:space="preserve">, na forma do </w:t>
      </w:r>
      <w:r>
        <w:rPr>
          <w:rStyle w:val="Strong"/>
        </w:rPr>
        <w:t>artigo 2º, inciso III, da Lei nº 10.522, de 20 de julho de 2002</w:t>
      </w:r>
      <w:r>
        <w:t>” e vincula o ajuste às “diretrizes da Resolução nº 547/2024, com as alterações da Resolução nº 617/2025, do Conselho Nacional de Justiça” (PL 85/2025, art. 1º e parágrafo único). O art. 2º dispõe que “</w:t>
      </w:r>
      <w:r>
        <w:rPr>
          <w:rStyle w:val="Strong"/>
        </w:rPr>
        <w:t>as obrigações das partes e o prazo do ajuste serão consignados no Termo de Convênio a ser celebrado a partir da promulgação da presente Lei</w:t>
      </w:r>
      <w:r>
        <w:t>” (PL 85/2025, art. 2º</w:t>
      </w:r>
      <w:r>
        <w:t>), e o art. 3º prevê que “</w:t>
      </w:r>
      <w:r>
        <w:rPr>
          <w:rStyle w:val="Strong"/>
        </w:rPr>
        <w:t>as despesas eventualmente decorrentes do objeto da presente Lei correrão por conta de dotação orçamentária própria</w:t>
      </w:r>
      <w:r>
        <w:t>” (PL 85/2025, art. 3º</w:t>
      </w:r>
      <w:r>
        <w:t>).</w:t>
      </w:r>
    </w:p>
    <w:p w:rsidR="00896E82" w:rsidP="003C7058" w14:paraId="50FA316A" w14:textId="724F1676">
      <w:pPr>
        <w:pStyle w:val="NormalWeb"/>
        <w:spacing w:line="360" w:lineRule="auto"/>
        <w:jc w:val="both"/>
      </w:pPr>
      <w:r>
        <w:tab/>
      </w:r>
      <w:r>
        <w:t xml:space="preserve">Consta dos autos, ainda, o </w:t>
      </w:r>
      <w:r>
        <w:rPr>
          <w:rStyle w:val="Strong"/>
        </w:rPr>
        <w:t>Convênio CADIN nº 118, de 11 de junho de 2025</w:t>
      </w:r>
      <w:r>
        <w:t>, firmado entre a União (PGFN) e o Município, que expressamente registra o objeto “</w:t>
      </w:r>
      <w:r>
        <w:rPr>
          <w:rStyle w:val="Strong"/>
        </w:rPr>
        <w:t>para fins de registro de devedores de dívida ativa no Cadin, na forma do art. 2º, III, da Lei nº 10.522, de 20 de julho de 2002</w:t>
      </w:r>
      <w:r>
        <w:t>” (Convên</w:t>
      </w:r>
      <w:r>
        <w:t>io CADIN nº 118/2025</w:t>
      </w:r>
      <w:r>
        <w:t xml:space="preserve">), e cuja </w:t>
      </w:r>
      <w:r>
        <w:rPr>
          <w:rStyle w:val="Strong"/>
        </w:rPr>
        <w:t>vigência</w:t>
      </w:r>
      <w:r>
        <w:t xml:space="preserve"> se inicia com a </w:t>
      </w:r>
      <w:r>
        <w:rPr>
          <w:rStyle w:val="Strong"/>
        </w:rPr>
        <w:t>publicação no DOU</w:t>
      </w:r>
      <w:r>
        <w:t>, “</w:t>
      </w:r>
      <w:r>
        <w:rPr>
          <w:rStyle w:val="Strong"/>
        </w:rPr>
        <w:t>por prazo indeterminado</w:t>
      </w:r>
      <w:r>
        <w:t>” (Convênio, Cláusula Sexta</w:t>
      </w:r>
      <w:r>
        <w:t>; )</w:t>
      </w:r>
      <w:r>
        <w:t>.</w:t>
      </w:r>
    </w:p>
    <w:p w:rsidR="00896E82" w:rsidP="003C7058" w14:paraId="294689DF" w14:textId="5A9BC8FB">
      <w:pPr>
        <w:pStyle w:val="NormalWeb"/>
        <w:spacing w:line="360" w:lineRule="auto"/>
        <w:jc w:val="both"/>
      </w:pPr>
      <w:r>
        <w:tab/>
      </w:r>
      <w:r>
        <w:t xml:space="preserve">A </w:t>
      </w:r>
      <w:r>
        <w:rPr>
          <w:rStyle w:val="Strong"/>
        </w:rPr>
        <w:t>Secretaria de Negócios Jurídicos</w:t>
      </w:r>
      <w:r>
        <w:t xml:space="preserve"> exarou parecer favorável ao PL, assinalando: “</w:t>
      </w:r>
      <w:r>
        <w:rPr>
          <w:rStyle w:val="Strong"/>
        </w:rPr>
        <w:t>jurídica e constitucionalmente, não há óbices à celebração do convênio proposto</w:t>
      </w:r>
      <w:r>
        <w:t xml:space="preserve"> (...). </w:t>
      </w:r>
      <w:r>
        <w:rPr>
          <w:rStyle w:val="Strong"/>
        </w:rPr>
        <w:t>A autorização legislativa é necessária e suficiente, nos moldes apresentados</w:t>
      </w:r>
      <w:r>
        <w:t>” (SN</w:t>
      </w:r>
      <w:r>
        <w:t>J – Despacho/Parecer, conclusão</w:t>
      </w:r>
      <w:r>
        <w:t>).</w:t>
      </w:r>
    </w:p>
    <w:p w:rsidR="00896E82" w:rsidP="003C7058" w14:paraId="12240C1A" w14:textId="349D37FD">
      <w:pPr>
        <w:pStyle w:val="NormalWeb"/>
        <w:spacing w:line="360" w:lineRule="auto"/>
        <w:jc w:val="both"/>
      </w:pPr>
      <w:r>
        <w:tab/>
      </w:r>
      <w:r>
        <w:t xml:space="preserve">Por fim, a </w:t>
      </w:r>
      <w:r>
        <w:rPr>
          <w:rStyle w:val="Strong"/>
        </w:rPr>
        <w:t>Ata conjunta</w:t>
      </w:r>
      <w:r>
        <w:t xml:space="preserve"> da Reunião de </w:t>
      </w:r>
      <w:r>
        <w:t>Comissões</w:t>
      </w:r>
      <w:r>
        <w:t>, realizada em</w:t>
      </w:r>
      <w:r w:rsidR="00ED22AB">
        <w:t xml:space="preserve"> 13</w:t>
      </w:r>
      <w:r>
        <w:t xml:space="preserve"> de agosto de 2025,</w:t>
      </w:r>
      <w:r>
        <w:t xml:space="preserve"> registra como motivação “</w:t>
      </w:r>
      <w:r>
        <w:rPr>
          <w:rStyle w:val="Strong"/>
        </w:rPr>
        <w:t>viabilizar as cobranças amigáveis da dívida ativa, devido à resolução do CNJ</w:t>
      </w:r>
      <w:r>
        <w:t xml:space="preserve">”, como </w:t>
      </w:r>
      <w:r>
        <w:rPr>
          <w:rStyle w:val="Strong"/>
        </w:rPr>
        <w:t>via extrajudicial</w:t>
      </w:r>
      <w:r>
        <w:t xml:space="preserve">, </w:t>
      </w:r>
      <w:r>
        <w:rPr>
          <w:rStyle w:val="Strong"/>
        </w:rPr>
        <w:t>“menos custosa do que o protesto, mas também menos efetiva”</w:t>
      </w:r>
      <w:r>
        <w:t>; e destaca que o PL é “</w:t>
      </w:r>
      <w:r>
        <w:rPr>
          <w:rStyle w:val="Strong"/>
        </w:rPr>
        <w:t>nova forma e ferramenta à disposição do Município</w:t>
      </w:r>
      <w:r>
        <w:t>” antes do</w:t>
      </w:r>
      <w:r w:rsidR="00ED22AB">
        <w:t xml:space="preserve"> ajuizamento (Ata 13</w:t>
      </w:r>
      <w:r>
        <w:t>/08/2025, exposições).</w:t>
      </w:r>
    </w:p>
    <w:p w:rsidR="00F74441" w:rsidRPr="00C926D0" w:rsidP="003C7058" w14:paraId="452BB01C" w14:textId="47DBF949">
      <w:pPr>
        <w:pStyle w:val="NormalWeb"/>
        <w:spacing w:line="360" w:lineRule="auto"/>
        <w:jc w:val="both"/>
      </w:pPr>
      <w:r>
        <w:pict>
          <v:rect id="_x0000_i1026" style="width:0;height:0.75pt" o:hralign="center" o:hrstd="t" o:hrnoshade="t" o:hr="t" fillcolor="#404040" stroked="f"/>
        </w:pict>
      </w:r>
    </w:p>
    <w:p w:rsidR="00F74441" w:rsidP="003C7058" w14:paraId="380FED2D" w14:textId="77777777">
      <w:pPr>
        <w:pStyle w:val="Heading3"/>
        <w:spacing w:line="360" w:lineRule="auto"/>
        <w:jc w:val="both"/>
        <w:rPr>
          <w:rStyle w:val="Strong"/>
          <w:b/>
          <w:bCs w:val="0"/>
          <w:color w:val="404040"/>
          <w:sz w:val="24"/>
          <w:szCs w:val="24"/>
        </w:rPr>
      </w:pPr>
      <w:r w:rsidRPr="00C926D0">
        <w:rPr>
          <w:rStyle w:val="Strong"/>
          <w:b/>
          <w:bCs w:val="0"/>
          <w:color w:val="404040"/>
          <w:sz w:val="24"/>
          <w:szCs w:val="24"/>
        </w:rPr>
        <w:t>II - CONCLUSÕES DO RELATOR</w:t>
      </w:r>
    </w:p>
    <w:p w:rsidR="00896E82" w:rsidP="003C7058" w14:paraId="2DFE44A0" w14:textId="5D78224B">
      <w:pPr>
        <w:pStyle w:val="NormalWeb"/>
        <w:spacing w:line="360" w:lineRule="auto"/>
        <w:jc w:val="both"/>
      </w:pPr>
      <w:r>
        <w:tab/>
      </w:r>
      <w:r>
        <w:t xml:space="preserve">A proposição alinha-se às </w:t>
      </w:r>
      <w:r>
        <w:rPr>
          <w:rStyle w:val="Strong"/>
        </w:rPr>
        <w:t>diretrizes do CNJ</w:t>
      </w:r>
      <w:r>
        <w:t xml:space="preserve"> para modernização da gestão da dívida pública, com fomento a mecanismos eletrônicos e </w:t>
      </w:r>
      <w:r>
        <w:rPr>
          <w:rStyle w:val="Strong"/>
        </w:rPr>
        <w:t>cobrança administrativa amigável</w:t>
      </w:r>
      <w:r>
        <w:t>. O próprio texto do processo executivo ressalta que o CADIN “</w:t>
      </w:r>
      <w:r>
        <w:rPr>
          <w:rStyle w:val="Strong"/>
        </w:rPr>
        <w:t>configura (...) uma forma de cobrança administrativa amigável, dotada de caráter informativo e com potencial persuasivo sobre o devedor, sem impor medidas coercitivas ou punitivas imediatas</w:t>
      </w:r>
      <w:r>
        <w:t>”, e que “</w:t>
      </w:r>
      <w:r>
        <w:rPr>
          <w:rStyle w:val="Strong"/>
        </w:rPr>
        <w:t>o registro (...) funciona como estímulo à regularização voluntária</w:t>
      </w:r>
      <w:r>
        <w:t>” por condicionar acesso a financiamentos, incentivos e contratações (Peça do processo — justificativa técnica).</w:t>
      </w:r>
    </w:p>
    <w:p w:rsidR="00896E82" w:rsidP="003C7058" w14:paraId="0E9B83EC" w14:textId="45FEAAC6">
      <w:pPr>
        <w:pStyle w:val="NormalWeb"/>
        <w:spacing w:line="360" w:lineRule="auto"/>
        <w:jc w:val="both"/>
      </w:pPr>
      <w:r>
        <w:tab/>
      </w:r>
      <w:r>
        <w:t xml:space="preserve">O </w:t>
      </w:r>
      <w:r>
        <w:rPr>
          <w:rStyle w:val="Strong"/>
        </w:rPr>
        <w:t>ajuste formal</w:t>
      </w:r>
      <w:r>
        <w:t xml:space="preserve"> (Convênio nº 118/2025) disciplina a </w:t>
      </w:r>
      <w:r>
        <w:rPr>
          <w:rStyle w:val="Strong"/>
        </w:rPr>
        <w:t>responsabilidade do Município pelas informações</w:t>
      </w:r>
      <w:r>
        <w:t xml:space="preserve"> inseridas, o </w:t>
      </w:r>
      <w:r>
        <w:rPr>
          <w:rStyle w:val="Strong"/>
        </w:rPr>
        <w:t xml:space="preserve">acesso a </w:t>
      </w:r>
      <w:r>
        <w:rPr>
          <w:rStyle w:val="Strong"/>
        </w:rPr>
        <w:t>APIs</w:t>
      </w:r>
      <w:r>
        <w:t xml:space="preserve">, a </w:t>
      </w:r>
      <w:r>
        <w:rPr>
          <w:rStyle w:val="Strong"/>
        </w:rPr>
        <w:t>política de perfis</w:t>
      </w:r>
      <w:r>
        <w:t xml:space="preserve"> e a </w:t>
      </w:r>
      <w:r>
        <w:rPr>
          <w:rStyle w:val="Strong"/>
        </w:rPr>
        <w:t>rescisão/denúncia</w:t>
      </w:r>
      <w:r>
        <w:t xml:space="preserve"> (Convênio, Cláusula Quarta, “acesso a parceiros”, e Cláusula Quinta, “re</w:t>
      </w:r>
      <w:r>
        <w:t>sponsabilidade pelos registros”</w:t>
      </w:r>
      <w:r>
        <w:t xml:space="preserve">), além de prever </w:t>
      </w:r>
      <w:r>
        <w:rPr>
          <w:rStyle w:val="Strong"/>
        </w:rPr>
        <w:t>publicação no DOU</w:t>
      </w:r>
      <w:r>
        <w:t xml:space="preserve"> e </w:t>
      </w:r>
      <w:r>
        <w:rPr>
          <w:rStyle w:val="Strong"/>
        </w:rPr>
        <w:t>vigência por prazo indeterminado</w:t>
      </w:r>
      <w:r>
        <w:t xml:space="preserve"> (Convênio, Cláusula Sexta;).</w:t>
      </w:r>
    </w:p>
    <w:p w:rsidR="00896E82" w:rsidP="003C7058" w14:paraId="7F20A762" w14:textId="71220D38">
      <w:pPr>
        <w:pStyle w:val="NormalWeb"/>
        <w:spacing w:line="360" w:lineRule="auto"/>
        <w:jc w:val="both"/>
      </w:pPr>
      <w:r>
        <w:tab/>
      </w:r>
      <w:r>
        <w:t xml:space="preserve">Do ponto de vista </w:t>
      </w:r>
      <w:r>
        <w:rPr>
          <w:rStyle w:val="Strong"/>
        </w:rPr>
        <w:t>operacional</w:t>
      </w:r>
      <w:r>
        <w:t>, a minuta do convênio enumera deveres como “</w:t>
      </w:r>
      <w:r>
        <w:rPr>
          <w:rStyle w:val="Strong"/>
        </w:rPr>
        <w:t>suspender o registro em até 5 dias úteis</w:t>
      </w:r>
      <w:r>
        <w:t xml:space="preserve"> (...)”, “</w:t>
      </w:r>
      <w:r>
        <w:rPr>
          <w:rStyle w:val="Strong"/>
        </w:rPr>
        <w:t>baixar o registro em até 5 dias úteis após a regularização</w:t>
      </w:r>
      <w:r>
        <w:t>”, “</w:t>
      </w:r>
      <w:r>
        <w:rPr>
          <w:rStyle w:val="Strong"/>
        </w:rPr>
        <w:t>divulgar orientações gerais</w:t>
      </w:r>
      <w:r>
        <w:t>”, “</w:t>
      </w:r>
      <w:r>
        <w:rPr>
          <w:rStyle w:val="Strong"/>
        </w:rPr>
        <w:t>fornecer manual</w:t>
      </w:r>
      <w:r>
        <w:t>” e “</w:t>
      </w:r>
      <w:r>
        <w:rPr>
          <w:rStyle w:val="Strong"/>
        </w:rPr>
        <w:t>habilitar usuários</w:t>
      </w:r>
      <w:r>
        <w:t>” (Convênio, obrigações</w:t>
      </w:r>
      <w:r>
        <w:t xml:space="preserve">), com </w:t>
      </w:r>
      <w:r>
        <w:rPr>
          <w:rStyle w:val="Strong"/>
        </w:rPr>
        <w:t>observância expressa da LGPD</w:t>
      </w:r>
      <w:r>
        <w:t xml:space="preserve"> (Convê</w:t>
      </w:r>
      <w:r>
        <w:t>nio, remissão à Lei 13.709/2018</w:t>
      </w:r>
      <w:r>
        <w:t xml:space="preserve">). Tais diretrizes combinam-se, no PL, com a opção de remeter </w:t>
      </w:r>
      <w:r>
        <w:rPr>
          <w:rStyle w:val="Strong"/>
        </w:rPr>
        <w:t>obrigações e prazos</w:t>
      </w:r>
      <w:r>
        <w:t xml:space="preserve"> ao </w:t>
      </w:r>
      <w:r>
        <w:rPr>
          <w:rStyle w:val="Strong"/>
        </w:rPr>
        <w:t>Termo de Convênio</w:t>
      </w:r>
      <w:r>
        <w:t xml:space="preserve"> (PL, art. 2º</w:t>
      </w:r>
      <w:r>
        <w:t xml:space="preserve">) e com a </w:t>
      </w:r>
      <w:r>
        <w:rPr>
          <w:rStyle w:val="Strong"/>
        </w:rPr>
        <w:t>previsão orçamentária genérica</w:t>
      </w:r>
      <w:r>
        <w:t xml:space="preserve"> (PL, art. 3º</w:t>
      </w:r>
      <w:r>
        <w:t>).</w:t>
      </w:r>
    </w:p>
    <w:p w:rsidR="00C104F1" w:rsidRPr="00C926D0" w:rsidP="003C7058" w14:paraId="5F9126C2" w14:textId="77777777">
      <w:pPr>
        <w:pStyle w:val="Heading3"/>
        <w:spacing w:line="360" w:lineRule="auto"/>
        <w:jc w:val="both"/>
        <w:rPr>
          <w:sz w:val="24"/>
          <w:szCs w:val="24"/>
        </w:rPr>
      </w:pPr>
      <w:r w:rsidRPr="00C926D0">
        <w:rPr>
          <w:rStyle w:val="Strong"/>
          <w:b/>
          <w:bCs w:val="0"/>
          <w:color w:val="404040"/>
          <w:sz w:val="24"/>
          <w:szCs w:val="24"/>
        </w:rPr>
        <w:tab/>
      </w:r>
      <w:r w:rsidRPr="00C926D0">
        <w:rPr>
          <w:sz w:val="24"/>
          <w:szCs w:val="24"/>
        </w:rPr>
        <w:t>a) Legalidade e Constitucionalidade</w:t>
      </w:r>
    </w:p>
    <w:p w:rsidR="00896E82" w:rsidP="003C7058" w14:paraId="50F0A31D" w14:textId="278CE093">
      <w:pPr>
        <w:pStyle w:val="NormalWeb"/>
        <w:spacing w:line="360" w:lineRule="auto"/>
        <w:jc w:val="both"/>
      </w:pPr>
      <w:r w:rsidRPr="00C926D0">
        <w:rPr>
          <w:rStyle w:val="Strong"/>
        </w:rPr>
        <w:tab/>
      </w:r>
      <w:r>
        <w:t>O parecer</w:t>
      </w:r>
      <w:r>
        <w:t xml:space="preserve"> jurídico</w:t>
      </w:r>
      <w:r>
        <w:t xml:space="preserve"> externo </w:t>
      </w:r>
      <w:r>
        <w:t xml:space="preserve">(SGP) </w:t>
      </w:r>
      <w:r>
        <w:t xml:space="preserve">rememora o art. 241 da CF/88 e conclui que </w:t>
      </w:r>
      <w:r>
        <w:rPr>
          <w:rStyle w:val="Strong"/>
        </w:rPr>
        <w:t>não há vício de constitucionalidade material</w:t>
      </w:r>
      <w:r>
        <w:t xml:space="preserve"> em propostas que “</w:t>
      </w:r>
      <w:r>
        <w:rPr>
          <w:rStyle w:val="Strong"/>
        </w:rPr>
        <w:t>autorizam o Município a celebrar instrumentos de cooperação</w:t>
      </w:r>
      <w:r>
        <w:t>” (SGP, análise constitucional</w:t>
      </w:r>
      <w:r>
        <w:t xml:space="preserve">). Dito de outro modo: o tema — </w:t>
      </w:r>
      <w:r>
        <w:rPr>
          <w:rStyle w:val="Strong"/>
        </w:rPr>
        <w:t>gestão associada</w:t>
      </w:r>
      <w:r>
        <w:t xml:space="preserve"> voltada ao registro no CADIN — está dentro do espectro normativo permitido.</w:t>
      </w:r>
    </w:p>
    <w:p w:rsidR="00896E82" w:rsidP="003C7058" w14:paraId="3AAE7B22" w14:textId="6F6B6BD1">
      <w:pPr>
        <w:pStyle w:val="NormalWeb"/>
        <w:spacing w:line="360" w:lineRule="auto"/>
        <w:jc w:val="both"/>
      </w:pPr>
      <w:r>
        <w:tab/>
      </w:r>
      <w:r>
        <w:t xml:space="preserve">O </w:t>
      </w:r>
      <w:r>
        <w:t xml:space="preserve">parecer da </w:t>
      </w:r>
      <w:r>
        <w:t xml:space="preserve">SGP sublinha que a </w:t>
      </w:r>
      <w:r>
        <w:rPr>
          <w:rStyle w:val="Strong"/>
        </w:rPr>
        <w:t>celebração de convênios é ato de gestão administrativa</w:t>
      </w:r>
      <w:r>
        <w:t xml:space="preserve">, de </w:t>
      </w:r>
      <w:r>
        <w:rPr>
          <w:rStyle w:val="Strong"/>
        </w:rPr>
        <w:t>competência privativa do Prefeito</w:t>
      </w:r>
      <w:r>
        <w:t xml:space="preserve">, e que, </w:t>
      </w:r>
      <w:r>
        <w:rPr>
          <w:rStyle w:val="Strong"/>
        </w:rPr>
        <w:t>em tese</w:t>
      </w:r>
      <w:r>
        <w:t>, não demandaria lei autorizativa, “</w:t>
      </w:r>
      <w:r>
        <w:rPr>
          <w:rStyle w:val="Strong"/>
        </w:rPr>
        <w:t>fazendo-se necessária tão-somente para autorizar a realização de despesas públicas</w:t>
      </w:r>
      <w:r>
        <w:t>”</w:t>
      </w:r>
      <w:r w:rsidR="00ED22AB">
        <w:t xml:space="preserve"> (SGP, iniciativa/ato de gestão</w:t>
      </w:r>
      <w:r>
        <w:t xml:space="preserve">). Não obstante tal ressalva teórica, a </w:t>
      </w:r>
      <w:r>
        <w:rPr>
          <w:rStyle w:val="Strong"/>
        </w:rPr>
        <w:t>conclusão é inequívoca</w:t>
      </w:r>
      <w:r>
        <w:t xml:space="preserve"> no sentido de que a proposta </w:t>
      </w:r>
      <w:r>
        <w:rPr>
          <w:rStyle w:val="Strong"/>
        </w:rPr>
        <w:t>“não contempla vícios (...) capazes de impedir a regular tramitação”</w:t>
      </w:r>
      <w:r>
        <w:t xml:space="preserve"> (SGP, conclusão). Também a </w:t>
      </w:r>
      <w:r>
        <w:rPr>
          <w:rStyle w:val="Strong"/>
        </w:rPr>
        <w:t>S</w:t>
      </w:r>
      <w:r w:rsidR="00ED22AB">
        <w:rPr>
          <w:rStyle w:val="Strong"/>
        </w:rPr>
        <w:t>ecretaria de Negócios Jurídicos</w:t>
      </w:r>
      <w:r>
        <w:t xml:space="preserve"> do Executivo municipal opina </w:t>
      </w:r>
      <w:r>
        <w:rPr>
          <w:rStyle w:val="Strong"/>
        </w:rPr>
        <w:t>favoravelmente</w:t>
      </w:r>
      <w:r>
        <w:t xml:space="preserve">, assinalando a </w:t>
      </w:r>
      <w:r>
        <w:rPr>
          <w:rStyle w:val="Strong"/>
        </w:rPr>
        <w:t>suficiência</w:t>
      </w:r>
      <w:r>
        <w:t xml:space="preserve"> da autorização “</w:t>
      </w:r>
      <w:r>
        <w:rPr>
          <w:rStyle w:val="Strong"/>
        </w:rPr>
        <w:t>nos moldes apresentados</w:t>
      </w:r>
      <w:r w:rsidR="00ED22AB">
        <w:t>” (SNJ, conclusão</w:t>
      </w:r>
      <w:r>
        <w:t>).</w:t>
      </w:r>
    </w:p>
    <w:p w:rsidR="00896E82" w:rsidP="003C7058" w14:paraId="52B69AE5" w14:textId="05269DC0">
      <w:pPr>
        <w:pStyle w:val="NormalWeb"/>
        <w:spacing w:line="360" w:lineRule="auto"/>
        <w:jc w:val="both"/>
      </w:pPr>
      <w:r>
        <w:tab/>
      </w:r>
      <w:r>
        <w:t xml:space="preserve">A </w:t>
      </w:r>
      <w:r>
        <w:rPr>
          <w:rStyle w:val="Strong"/>
        </w:rPr>
        <w:t>Lei nº 10.522/2002</w:t>
      </w:r>
      <w:r>
        <w:t xml:space="preserve"> — que institui o CADIN — </w:t>
      </w:r>
      <w:r>
        <w:rPr>
          <w:rStyle w:val="Strong"/>
        </w:rPr>
        <w:t>autoriza o registro</w:t>
      </w:r>
      <w:r>
        <w:t xml:space="preserve"> de devedores, “</w:t>
      </w:r>
      <w:r>
        <w:rPr>
          <w:rStyle w:val="Strong"/>
        </w:rPr>
        <w:t>conforme convênio firmado com a União, representada pela PGFN</w:t>
      </w:r>
      <w:r>
        <w:t>” (</w:t>
      </w:r>
      <w:r>
        <w:t>SGP, remissão à Lei 10.522/2002</w:t>
      </w:r>
      <w:r>
        <w:t xml:space="preserve">). O PL 85/2025 </w:t>
      </w:r>
      <w:r>
        <w:rPr>
          <w:rStyle w:val="Strong"/>
        </w:rPr>
        <w:t>espelha</w:t>
      </w:r>
      <w:r>
        <w:t xml:space="preserve"> essa moldura ao remeter “</w:t>
      </w:r>
      <w:r>
        <w:rPr>
          <w:rStyle w:val="Strong"/>
        </w:rPr>
        <w:t>na forma do art. 2º, III, da Lei nº 10.522, de 20 de julho de 2002</w:t>
      </w:r>
      <w:r>
        <w:t>” (PL, art. 1º</w:t>
      </w:r>
      <w:r>
        <w:t xml:space="preserve">) e </w:t>
      </w:r>
      <w:r>
        <w:rPr>
          <w:rStyle w:val="Strong"/>
        </w:rPr>
        <w:t>ancora</w:t>
      </w:r>
      <w:r>
        <w:t xml:space="preserve"> o objetivo nas </w:t>
      </w:r>
      <w:r>
        <w:rPr>
          <w:rStyle w:val="Strong"/>
        </w:rPr>
        <w:t>Resoluções CNJ nº 547/2024 e nº 617/2025</w:t>
      </w:r>
      <w:r>
        <w:t xml:space="preserve"> </w:t>
      </w:r>
      <w:r>
        <w:t>(PL, parágrafo único do art. 1º</w:t>
      </w:r>
      <w:r>
        <w:t>).</w:t>
      </w:r>
    </w:p>
    <w:p w:rsidR="00896E82" w:rsidP="003C7058" w14:paraId="42613156" w14:textId="3AF34165">
      <w:pPr>
        <w:pStyle w:val="NormalWeb"/>
        <w:spacing w:line="360" w:lineRule="auto"/>
        <w:jc w:val="both"/>
      </w:pPr>
      <w:r>
        <w:tab/>
      </w:r>
      <w:r>
        <w:t xml:space="preserve">A técnica utilizada é de </w:t>
      </w:r>
      <w:r>
        <w:rPr>
          <w:rStyle w:val="Strong"/>
        </w:rPr>
        <w:t>lei autorizativa geral</w:t>
      </w:r>
      <w:r>
        <w:t xml:space="preserve">, com remissão a </w:t>
      </w:r>
      <w:r>
        <w:rPr>
          <w:rStyle w:val="Strong"/>
        </w:rPr>
        <w:t>instrumento específico</w:t>
      </w:r>
      <w:r>
        <w:t xml:space="preserve"> (convênio)</w:t>
      </w:r>
      <w:r>
        <w:t xml:space="preserve"> para detalhamento (PL, art. 2º</w:t>
      </w:r>
      <w:r>
        <w:t xml:space="preserve">), </w:t>
      </w:r>
      <w:r>
        <w:rPr>
          <w:rStyle w:val="Strong"/>
        </w:rPr>
        <w:t>previsão orçamentária sem aumento de despesa</w:t>
      </w:r>
      <w:r>
        <w:t xml:space="preserve"> (PL, art. 3º</w:t>
      </w:r>
      <w:r>
        <w:t xml:space="preserve">) e remissão expressa ao </w:t>
      </w:r>
      <w:r>
        <w:rPr>
          <w:rStyle w:val="Strong"/>
        </w:rPr>
        <w:t>fundamento legal federal</w:t>
      </w:r>
      <w:r>
        <w:t xml:space="preserve"> (PL, art. 1º</w:t>
      </w:r>
      <w:r>
        <w:t xml:space="preserve">). No plano </w:t>
      </w:r>
      <w:r>
        <w:t>infralegal</w:t>
      </w:r>
      <w:r>
        <w:t xml:space="preserve">, o convênio descreve </w:t>
      </w:r>
      <w:r>
        <w:rPr>
          <w:rStyle w:val="Strong"/>
        </w:rPr>
        <w:t>deveres operacionais</w:t>
      </w:r>
      <w:r>
        <w:t xml:space="preserve"> e </w:t>
      </w:r>
      <w:r>
        <w:rPr>
          <w:rStyle w:val="Strong"/>
        </w:rPr>
        <w:t>governança de acesso</w:t>
      </w:r>
      <w:r>
        <w:t xml:space="preserve"> (Convên</w:t>
      </w:r>
      <w:r>
        <w:t xml:space="preserve">io, </w:t>
      </w:r>
      <w:r>
        <w:t>obrigações/aperfeiçoamentos</w:t>
      </w:r>
      <w:r>
        <w:t xml:space="preserve">), de modo coerente com a lógica de </w:t>
      </w:r>
      <w:r>
        <w:rPr>
          <w:rStyle w:val="Strong"/>
        </w:rPr>
        <w:t>cobrança extrajudicial amigável</w:t>
      </w:r>
      <w:r>
        <w:t xml:space="preserve"> sustentada nas peças técnicas (Justificativa do processo: “forma de cobrança administrativa amigável” e “estím</w:t>
      </w:r>
      <w:r>
        <w:t>ulo à regularização voluntária”</w:t>
      </w:r>
      <w:r>
        <w:t>).</w:t>
      </w:r>
    </w:p>
    <w:p w:rsidR="00C104F1" w:rsidRPr="00ED22AB" w:rsidP="003C7058" w14:paraId="0A3383DE" w14:textId="56F6B0FC">
      <w:pPr>
        <w:pStyle w:val="NormalWeb"/>
        <w:spacing w:line="360" w:lineRule="auto"/>
        <w:jc w:val="both"/>
        <w:rPr>
          <w:b/>
        </w:rPr>
      </w:pPr>
      <w:r w:rsidRPr="00C926D0">
        <w:tab/>
      </w:r>
      <w:r w:rsidRPr="00ED22AB" w:rsidR="00B01151">
        <w:rPr>
          <w:b/>
        </w:rPr>
        <w:t>b</w:t>
      </w:r>
      <w:r w:rsidRPr="00ED22AB">
        <w:rPr>
          <w:b/>
        </w:rPr>
        <w:t>) Conveniência e Oportunidade</w:t>
      </w:r>
    </w:p>
    <w:p w:rsidR="00B01151" w:rsidP="003C7058" w14:paraId="6DBDD4E1" w14:textId="542F60CD">
      <w:pPr>
        <w:pStyle w:val="NormalWeb"/>
        <w:spacing w:line="360" w:lineRule="auto"/>
        <w:jc w:val="both"/>
      </w:pPr>
      <w:r>
        <w:tab/>
      </w:r>
      <w:r w:rsidR="00ED22AB">
        <w:t xml:space="preserve">Sob o ângulo da </w:t>
      </w:r>
      <w:r w:rsidR="00ED22AB">
        <w:rPr>
          <w:rStyle w:val="Strong"/>
        </w:rPr>
        <w:t>eficiência arrecadatória</w:t>
      </w:r>
      <w:r w:rsidR="00ED22AB">
        <w:t xml:space="preserve"> e dos </w:t>
      </w:r>
      <w:r w:rsidR="00ED22AB">
        <w:rPr>
          <w:rStyle w:val="Strong"/>
        </w:rPr>
        <w:t>custos de transação</w:t>
      </w:r>
      <w:r w:rsidR="00ED22AB">
        <w:t xml:space="preserve">, o CADIN desempenha papel </w:t>
      </w:r>
      <w:r w:rsidR="00ED22AB">
        <w:rPr>
          <w:rStyle w:val="Strong"/>
        </w:rPr>
        <w:t>informativo/persuasivo</w:t>
      </w:r>
      <w:r w:rsidR="00ED22AB">
        <w:t xml:space="preserve">, funcionando como </w:t>
      </w:r>
      <w:r w:rsidR="00ED22AB">
        <w:rPr>
          <w:rStyle w:val="Strong"/>
        </w:rPr>
        <w:t>camada adicional</w:t>
      </w:r>
      <w:r w:rsidR="00ED22AB">
        <w:t xml:space="preserve"> de cobrança prévia à execução fiscal. Isso foi </w:t>
      </w:r>
      <w:r w:rsidR="00ED22AB">
        <w:rPr>
          <w:rStyle w:val="Strong"/>
        </w:rPr>
        <w:t>explicitado em</w:t>
      </w:r>
      <w:r w:rsidR="00ED22AB">
        <w:rPr>
          <w:rStyle w:val="Strong"/>
        </w:rPr>
        <w:t xml:space="preserve"> Reunião Conjunta de Comissões</w:t>
      </w:r>
      <w:r w:rsidR="00ED22AB">
        <w:t>: “</w:t>
      </w:r>
      <w:r w:rsidR="00ED22AB">
        <w:rPr>
          <w:rStyle w:val="Strong"/>
        </w:rPr>
        <w:t>modalidades de cobrança extrajudicial</w:t>
      </w:r>
      <w:r w:rsidR="00ED22AB">
        <w:t xml:space="preserve"> (...) </w:t>
      </w:r>
      <w:r w:rsidR="00ED22AB">
        <w:rPr>
          <w:rStyle w:val="Strong"/>
        </w:rPr>
        <w:t>menos custosa do que o protesto, mas também menos efetiva</w:t>
      </w:r>
      <w:r w:rsidR="00ED22AB">
        <w:t xml:space="preserve">”, servindo como </w:t>
      </w:r>
      <w:r w:rsidR="00ED22AB">
        <w:rPr>
          <w:rStyle w:val="Strong"/>
        </w:rPr>
        <w:t>“nova forma e ferramenta”</w:t>
      </w:r>
      <w:r w:rsidR="00ED22AB">
        <w:t xml:space="preserve"> para negociação antes do ajuizamento (A</w:t>
      </w:r>
      <w:r w:rsidR="00ED22AB">
        <w:t>ta, exposições e encaminhamento</w:t>
      </w:r>
      <w:r w:rsidR="00ED22AB">
        <w:t xml:space="preserve">). Em termos de </w:t>
      </w:r>
      <w:r w:rsidR="00ED22AB">
        <w:rPr>
          <w:rStyle w:val="Strong"/>
        </w:rPr>
        <w:t>governança</w:t>
      </w:r>
      <w:r w:rsidR="00ED22AB">
        <w:t xml:space="preserve">, o convênio exige </w:t>
      </w:r>
      <w:r w:rsidR="00ED22AB">
        <w:rPr>
          <w:rStyle w:val="Strong"/>
        </w:rPr>
        <w:t>canais de transparência ao cidadão</w:t>
      </w:r>
      <w:r w:rsidR="00ED22AB">
        <w:t xml:space="preserve">, </w:t>
      </w:r>
      <w:r w:rsidR="00ED22AB">
        <w:rPr>
          <w:rStyle w:val="Strong"/>
        </w:rPr>
        <w:t>manuais</w:t>
      </w:r>
      <w:r w:rsidR="00ED22AB">
        <w:t xml:space="preserve">, </w:t>
      </w:r>
      <w:r w:rsidR="00ED22AB">
        <w:rPr>
          <w:rStyle w:val="Strong"/>
        </w:rPr>
        <w:t>perfis de acesso</w:t>
      </w:r>
      <w:r w:rsidR="00ED22AB">
        <w:t xml:space="preserve">, </w:t>
      </w:r>
      <w:r w:rsidR="00ED22AB">
        <w:rPr>
          <w:rStyle w:val="Strong"/>
        </w:rPr>
        <w:t>prazos de suspensão/baixa</w:t>
      </w:r>
      <w:r w:rsidR="00ED22AB">
        <w:t xml:space="preserve"> e </w:t>
      </w:r>
      <w:r w:rsidR="00ED22AB">
        <w:rPr>
          <w:rStyle w:val="Strong"/>
        </w:rPr>
        <w:t>observância de LGPD</w:t>
      </w:r>
      <w:r w:rsidR="00ED22AB">
        <w:t xml:space="preserve">, o que reforça a </w:t>
      </w:r>
      <w:r w:rsidR="00ED22AB">
        <w:rPr>
          <w:rStyle w:val="Strong"/>
        </w:rPr>
        <w:t>confiabilidade do procedimento</w:t>
      </w:r>
      <w:r w:rsidR="00ED22AB">
        <w:t xml:space="preserve"> (Convênio, obrigações</w:t>
      </w:r>
      <w:r w:rsidR="00ED22AB">
        <w:t>).</w:t>
      </w:r>
    </w:p>
    <w:p w:rsidR="00F74441" w:rsidRPr="00C926D0" w:rsidP="003C7058" w14:paraId="38BA90DC" w14:textId="4EC81AED">
      <w:pPr>
        <w:pStyle w:val="NormalWeb"/>
        <w:spacing w:line="360" w:lineRule="auto"/>
        <w:jc w:val="both"/>
      </w:pPr>
      <w:r>
        <w:pict>
          <v:rect id="_x0000_i1027" style="width:0;height:0.75pt" o:hralign="center" o:hrstd="t" o:hrnoshade="t" o:hr="t" fillcolor="#404040" stroked="f"/>
        </w:pict>
      </w:r>
    </w:p>
    <w:p w:rsidR="00F74441" w:rsidRPr="00C926D0" w:rsidP="003C7058" w14:paraId="68542A3A" w14:textId="77777777">
      <w:pPr>
        <w:pStyle w:val="Heading3"/>
        <w:spacing w:line="360" w:lineRule="auto"/>
        <w:jc w:val="both"/>
        <w:rPr>
          <w:color w:val="404040"/>
          <w:sz w:val="24"/>
          <w:szCs w:val="24"/>
        </w:rPr>
      </w:pPr>
      <w:r w:rsidRPr="00C926D0">
        <w:rPr>
          <w:rStyle w:val="Strong"/>
          <w:b/>
          <w:bCs w:val="0"/>
          <w:color w:val="404040"/>
          <w:sz w:val="24"/>
          <w:szCs w:val="24"/>
        </w:rPr>
        <w:t>III - OFERECIMENTO DE SUBSTITUTIVO, EMENDAS OU SUBEMENDAS</w:t>
      </w:r>
    </w:p>
    <w:p w:rsidR="00ED22AB" w:rsidP="003C7058" w14:paraId="56B31382" w14:textId="03823F7C">
      <w:pPr>
        <w:pStyle w:val="NormalWeb"/>
        <w:spacing w:line="360" w:lineRule="auto"/>
        <w:jc w:val="both"/>
      </w:pPr>
      <w:r w:rsidRPr="00C926D0">
        <w:tab/>
      </w:r>
      <w:r>
        <w:rPr>
          <w:rStyle w:val="Strong"/>
        </w:rPr>
        <w:t>Não se propõe substitutivo.</w:t>
      </w:r>
      <w:r>
        <w:t xml:space="preserve"> Quanto a </w:t>
      </w:r>
      <w:r>
        <w:rPr>
          <w:rStyle w:val="Strong"/>
        </w:rPr>
        <w:t>emenda</w:t>
      </w:r>
      <w:r>
        <w:t xml:space="preserve">, </w:t>
      </w:r>
      <w:r>
        <w:rPr>
          <w:rStyle w:val="Strong"/>
        </w:rPr>
        <w:t>apenas</w:t>
      </w:r>
      <w:r>
        <w:t xml:space="preserve"> se </w:t>
      </w:r>
      <w:r>
        <w:rPr>
          <w:rStyle w:val="Strong"/>
        </w:rPr>
        <w:t>registra</w:t>
      </w:r>
      <w:r>
        <w:t xml:space="preserve"> a conveniência </w:t>
      </w:r>
      <w:r>
        <w:rPr>
          <w:rStyle w:val="Strong"/>
        </w:rPr>
        <w:t>redacional</w:t>
      </w:r>
      <w:r>
        <w:t xml:space="preserve"> de inserir </w:t>
      </w:r>
      <w:r>
        <w:rPr>
          <w:rStyle w:val="Strong"/>
        </w:rPr>
        <w:t>cláusula de ratificação/convalidação</w:t>
      </w:r>
      <w:r>
        <w:t xml:space="preserve"> dos atos já praticados no </w:t>
      </w:r>
      <w:r>
        <w:rPr>
          <w:rStyle w:val="Strong"/>
        </w:rPr>
        <w:t>Convênio CADIN nº 118/2025</w:t>
      </w:r>
      <w:r>
        <w:t xml:space="preserve"> — uma vez que o ajuste </w:t>
      </w:r>
      <w:r>
        <w:rPr>
          <w:rStyle w:val="Strong"/>
        </w:rPr>
        <w:t>foi assinado</w:t>
      </w:r>
      <w:r>
        <w:t xml:space="preserve"> em </w:t>
      </w:r>
      <w:r>
        <w:rPr>
          <w:rStyle w:val="Strong"/>
        </w:rPr>
        <w:t>11/06/2025</w:t>
      </w:r>
      <w:r>
        <w:t xml:space="preserve"> (Convênio, cabeçalho</w:t>
      </w:r>
      <w:r>
        <w:t>), ao passo que o art. 2º do PL afirma que o “</w:t>
      </w:r>
      <w:r>
        <w:rPr>
          <w:rStyle w:val="Strong"/>
        </w:rPr>
        <w:t>termo de convênio</w:t>
      </w:r>
      <w:r>
        <w:t xml:space="preserve">” </w:t>
      </w:r>
      <w:r>
        <w:rPr>
          <w:rStyle w:val="Strong"/>
        </w:rPr>
        <w:t>será celebrado a partir da promulgação</w:t>
      </w:r>
      <w:r>
        <w:t xml:space="preserve"> (PL, art. 2º</w:t>
      </w:r>
      <w:r>
        <w:t xml:space="preserve">). Trata-se de </w:t>
      </w:r>
      <w:r>
        <w:rPr>
          <w:rStyle w:val="Strong"/>
        </w:rPr>
        <w:t>adequação puramente formal</w:t>
      </w:r>
      <w:r>
        <w:t>, sem alteração do mérito.</w:t>
      </w:r>
    </w:p>
    <w:p w:rsidR="00ED22AB" w:rsidP="003C7058" w14:paraId="2F0040B6" w14:textId="77777777">
      <w:pPr>
        <w:pStyle w:val="NormalWeb"/>
        <w:spacing w:line="360" w:lineRule="auto"/>
        <w:jc w:val="both"/>
      </w:pPr>
      <w:r>
        <w:rPr>
          <w:rStyle w:val="Emphasis"/>
        </w:rPr>
        <w:t>Sugestão redacional enxuta (se acolhida pela Comissão):</w:t>
      </w:r>
      <w:r>
        <w:t xml:space="preserve"> “Art. ____. Ficam </w:t>
      </w:r>
      <w:r>
        <w:rPr>
          <w:rStyle w:val="Strong"/>
        </w:rPr>
        <w:t>ratificados e convalidados</w:t>
      </w:r>
      <w:r>
        <w:t xml:space="preserve"> o </w:t>
      </w:r>
      <w:r>
        <w:rPr>
          <w:rStyle w:val="Strong"/>
        </w:rPr>
        <w:t>Convênio CADIN nº 118, de 11 de junho de 2025</w:t>
      </w:r>
      <w:r>
        <w:t xml:space="preserve">, e os demais atos já praticados pelo Poder Executivo para sua formalização e </w:t>
      </w:r>
      <w:r>
        <w:t>execução.”</w:t>
      </w:r>
    </w:p>
    <w:p w:rsidR="00C926D0" w:rsidP="003C7058" w14:paraId="7E128F18" w14:textId="332CBF49">
      <w:pPr>
        <w:pStyle w:val="NormalWeb"/>
        <w:spacing w:line="360" w:lineRule="auto"/>
      </w:pPr>
    </w:p>
    <w:p w:rsidR="00F74441" w:rsidRPr="00C926D0" w:rsidP="003C7058" w14:paraId="0344C6BF" w14:textId="183D14C7">
      <w:pPr>
        <w:pStyle w:val="NormalWeb"/>
        <w:spacing w:line="360" w:lineRule="auto"/>
        <w:jc w:val="both"/>
      </w:pPr>
      <w:r>
        <w:pict>
          <v:rect id="_x0000_i1028" style="width:0;height:0.75pt" o:hralign="center" o:hrstd="t" o:hrnoshade="t" o:hr="t" fillcolor="#404040" stroked="f"/>
        </w:pict>
      </w:r>
    </w:p>
    <w:p w:rsidR="00F74441" w:rsidRPr="00C926D0" w:rsidP="003C7058" w14:paraId="0089363A" w14:textId="77777777">
      <w:pPr>
        <w:pStyle w:val="Heading3"/>
        <w:spacing w:line="360" w:lineRule="auto"/>
        <w:jc w:val="both"/>
        <w:rPr>
          <w:rStyle w:val="Strong"/>
          <w:b/>
          <w:bCs w:val="0"/>
          <w:color w:val="404040"/>
          <w:sz w:val="24"/>
          <w:szCs w:val="24"/>
        </w:rPr>
      </w:pPr>
      <w:r w:rsidRPr="00C926D0">
        <w:rPr>
          <w:rStyle w:val="Strong"/>
          <w:b/>
          <w:bCs w:val="0"/>
          <w:color w:val="404040"/>
          <w:sz w:val="24"/>
          <w:szCs w:val="24"/>
        </w:rPr>
        <w:t>IV - DECISÃO DA COMISSÃO</w:t>
      </w:r>
    </w:p>
    <w:p w:rsidR="00B01151" w:rsidP="003C7058" w14:paraId="0B24EBFB" w14:textId="26A0EC7B">
      <w:pPr>
        <w:pStyle w:val="NormalWeb"/>
        <w:spacing w:line="360" w:lineRule="auto"/>
        <w:jc w:val="both"/>
      </w:pPr>
      <w:r w:rsidRPr="00C926D0">
        <w:rPr>
          <w:color w:val="404040"/>
        </w:rPr>
        <w:tab/>
      </w:r>
      <w:r w:rsidR="00ED22AB">
        <w:t xml:space="preserve">À vista do exposto, </w:t>
      </w:r>
      <w:r w:rsidR="00ED22AB">
        <w:rPr>
          <w:rStyle w:val="Strong"/>
        </w:rPr>
        <w:t>esta Relatoria opina pela aprovação</w:t>
      </w:r>
      <w:r w:rsidR="00ED22AB">
        <w:t xml:space="preserve"> do </w:t>
      </w:r>
      <w:r w:rsidR="00ED22AB">
        <w:rPr>
          <w:rStyle w:val="Strong"/>
        </w:rPr>
        <w:t>Projeto de Lei nº 85/2025</w:t>
      </w:r>
      <w:r w:rsidR="00ED22AB">
        <w:t xml:space="preserve">, </w:t>
      </w:r>
      <w:r w:rsidR="00ED22AB">
        <w:t>por</w:t>
      </w:r>
      <w:r w:rsidR="00ED22AB">
        <w:t xml:space="preserve"> o considerar </w:t>
      </w:r>
      <w:r w:rsidR="00ED22AB">
        <w:rPr>
          <w:rStyle w:val="Strong"/>
        </w:rPr>
        <w:t>legal, constitucional e conveniente</w:t>
      </w:r>
      <w:r w:rsidR="00ED22AB">
        <w:t>, em consonância com os pareceres técnicos constantes dos autos — “</w:t>
      </w:r>
      <w:r w:rsidR="00ED22AB">
        <w:rPr>
          <w:rStyle w:val="Strong"/>
        </w:rPr>
        <w:t xml:space="preserve">não </w:t>
      </w:r>
      <w:r w:rsidR="00ED22AB">
        <w:rPr>
          <w:rStyle w:val="Strong"/>
        </w:rPr>
        <w:t>vislumbramento</w:t>
      </w:r>
      <w:r w:rsidR="00ED22AB">
        <w:rPr>
          <w:rStyle w:val="Strong"/>
        </w:rPr>
        <w:t xml:space="preserve"> de óbices (...) que impeçam a regular tramitação</w:t>
      </w:r>
      <w:r w:rsidR="00ED22AB">
        <w:t>” (SGP, ementa/conclusão; ) e “</w:t>
      </w:r>
      <w:r w:rsidR="00ED22AB">
        <w:rPr>
          <w:rStyle w:val="Strong"/>
        </w:rPr>
        <w:t>autorização legislativa necessária e suficiente</w:t>
      </w:r>
      <w:r w:rsidR="00ED22AB">
        <w:t xml:space="preserve">” (SNJ, conclusão; ) —, </w:t>
      </w:r>
      <w:r w:rsidR="00ED22AB">
        <w:rPr>
          <w:rStyle w:val="Strong"/>
        </w:rPr>
        <w:t>com a recomendação</w:t>
      </w:r>
      <w:r w:rsidR="00ED22AB">
        <w:t xml:space="preserve"> de, </w:t>
      </w:r>
      <w:r w:rsidR="00ED22AB">
        <w:rPr>
          <w:rStyle w:val="Strong"/>
        </w:rPr>
        <w:t>se assim deliberar a Comissão</w:t>
      </w:r>
      <w:r w:rsidR="00ED22AB">
        <w:t xml:space="preserve">, acolher a </w:t>
      </w:r>
      <w:r w:rsidR="00ED22AB">
        <w:rPr>
          <w:rStyle w:val="Strong"/>
        </w:rPr>
        <w:t>emenda redacional de ratificação</w:t>
      </w:r>
      <w:r w:rsidR="00ED22AB">
        <w:t xml:space="preserve"> indicada na Seção III, por prudência técnica.</w:t>
      </w:r>
    </w:p>
    <w:p w:rsidR="00F74441" w:rsidRPr="00C926D0" w:rsidP="003C7058" w14:paraId="214FFDEB" w14:textId="13993572">
      <w:pPr>
        <w:pStyle w:val="NormalWeb"/>
        <w:spacing w:line="360" w:lineRule="auto"/>
        <w:jc w:val="both"/>
      </w:pPr>
      <w:r>
        <w:pict>
          <v:rect id="_x0000_i1029" style="width:0;height:0.75pt" o:hralign="center" o:hrstd="t" o:hrnoshade="t" o:hr="t" fillcolor="#404040" stroked="f"/>
        </w:pict>
      </w:r>
    </w:p>
    <w:p w:rsidR="00F74441" w:rsidRPr="00C926D0" w:rsidP="003C7058" w14:paraId="14CCE9EB" w14:textId="77777777">
      <w:pPr>
        <w:pStyle w:val="NormalWeb"/>
        <w:spacing w:line="360" w:lineRule="auto"/>
        <w:jc w:val="both"/>
        <w:rPr>
          <w:color w:val="404040"/>
        </w:rPr>
      </w:pPr>
      <w:r w:rsidRPr="00C926D0">
        <w:rPr>
          <w:rStyle w:val="Strong"/>
          <w:color w:val="404040"/>
        </w:rPr>
        <w:t>Assinam os membros da Comissão de Justiça e Redação que votaram a favor:</w:t>
      </w:r>
    </w:p>
    <w:p w:rsidR="00F74441" w:rsidRPr="00C926D0" w:rsidP="003C7058" w14:paraId="1436876C" w14:textId="767E72E4">
      <w:pPr>
        <w:pStyle w:val="NormalWeb"/>
        <w:numPr>
          <w:ilvl w:val="0"/>
          <w:numId w:val="13"/>
        </w:numPr>
        <w:spacing w:before="0" w:beforeAutospacing="0" w:line="360" w:lineRule="auto"/>
        <w:jc w:val="both"/>
        <w:rPr>
          <w:color w:val="404040"/>
        </w:rPr>
      </w:pPr>
      <w:r w:rsidRPr="00C926D0">
        <w:rPr>
          <w:color w:val="404040"/>
        </w:rPr>
        <w:t>Vereador João Victor Gasparini (</w:t>
      </w:r>
      <w:r w:rsidRPr="00C926D0" w:rsidR="003B1A59">
        <w:rPr>
          <w:color w:val="404040"/>
        </w:rPr>
        <w:t xml:space="preserve">Membro/ </w:t>
      </w:r>
      <w:r w:rsidRPr="00C926D0">
        <w:rPr>
          <w:color w:val="404040"/>
        </w:rPr>
        <w:t>Relator)</w:t>
      </w:r>
    </w:p>
    <w:p w:rsidR="00F74441" w:rsidRPr="00C926D0" w:rsidP="003C7058" w14:paraId="0AF5E80E" w14:textId="279D525E">
      <w:pPr>
        <w:pStyle w:val="NormalWeb"/>
        <w:numPr>
          <w:ilvl w:val="0"/>
          <w:numId w:val="13"/>
        </w:numPr>
        <w:spacing w:before="0" w:beforeAutospacing="0" w:line="360" w:lineRule="auto"/>
        <w:jc w:val="both"/>
        <w:rPr>
          <w:color w:val="404040"/>
        </w:rPr>
      </w:pPr>
      <w:r w:rsidRPr="00C926D0">
        <w:rPr>
          <w:color w:val="404040"/>
        </w:rPr>
        <w:t xml:space="preserve">Vereador </w:t>
      </w:r>
      <w:r w:rsidRPr="00C926D0" w:rsidR="003B1A59">
        <w:rPr>
          <w:color w:val="404040"/>
        </w:rPr>
        <w:t>Wagner Ricardo Pereira (Presidente)</w:t>
      </w:r>
    </w:p>
    <w:p w:rsidR="00F74441" w:rsidRPr="00C926D0" w:rsidP="003C7058" w14:paraId="64715406" w14:textId="7AA5E3FF">
      <w:pPr>
        <w:pStyle w:val="NormalWeb"/>
        <w:numPr>
          <w:ilvl w:val="0"/>
          <w:numId w:val="13"/>
        </w:numPr>
        <w:spacing w:before="0" w:beforeAutospacing="0" w:line="360" w:lineRule="auto"/>
        <w:jc w:val="both"/>
      </w:pPr>
      <w:r w:rsidRPr="00C926D0">
        <w:rPr>
          <w:color w:val="404040"/>
        </w:rPr>
        <w:t>Vereador Manoel Eduardo Pereira da Cruz Palomino (Vice-Presidente)</w:t>
      </w:r>
      <w:r>
        <w:pict>
          <v:rect id="_x0000_i1030" style="width:0;height:0.75pt" o:hrstd="t" o:hrnoshade="t" o:hr="t" fillcolor="#404040" stroked="f"/>
        </w:pict>
      </w:r>
    </w:p>
    <w:p w:rsidR="00F74441" w:rsidRPr="00C926D0" w:rsidP="003C7058" w14:paraId="6AB168D8" w14:textId="74C91CC5">
      <w:pPr>
        <w:pStyle w:val="NormalWeb"/>
        <w:spacing w:line="360" w:lineRule="auto"/>
        <w:jc w:val="both"/>
        <w:rPr>
          <w:color w:val="404040"/>
        </w:rPr>
      </w:pPr>
      <w:r w:rsidRPr="00C926D0">
        <w:rPr>
          <w:rStyle w:val="Strong"/>
          <w:color w:val="404040"/>
        </w:rPr>
        <w:t>SALA DAS SESSÕE</w:t>
      </w:r>
      <w:r w:rsidRPr="00C926D0" w:rsidR="00FA6BC2">
        <w:rPr>
          <w:rStyle w:val="Strong"/>
          <w:color w:val="404040"/>
        </w:rPr>
        <w:t>S “VEREADOR SANTO RÓTTOLI”, em</w:t>
      </w:r>
      <w:r w:rsidR="00B01151">
        <w:rPr>
          <w:rStyle w:val="Strong"/>
          <w:color w:val="404040"/>
        </w:rPr>
        <w:t xml:space="preserve"> </w:t>
      </w:r>
      <w:r w:rsidR="0042475C">
        <w:rPr>
          <w:rStyle w:val="Strong"/>
          <w:color w:val="404040"/>
        </w:rPr>
        <w:t>28</w:t>
      </w:r>
      <w:r w:rsidRPr="00C926D0">
        <w:rPr>
          <w:rStyle w:val="Strong"/>
          <w:color w:val="404040"/>
        </w:rPr>
        <w:t xml:space="preserve"> de </w:t>
      </w:r>
      <w:r w:rsidR="0042475C">
        <w:rPr>
          <w:rStyle w:val="Strong"/>
          <w:color w:val="404040"/>
        </w:rPr>
        <w:t>agost</w:t>
      </w:r>
      <w:r w:rsidRPr="00C926D0">
        <w:rPr>
          <w:rStyle w:val="Strong"/>
          <w:color w:val="404040"/>
        </w:rPr>
        <w:t>o de 2025.</w:t>
      </w:r>
    </w:p>
    <w:p w:rsidR="00F74441" w:rsidRPr="00C926D0" w:rsidP="003C7058" w14:paraId="2F48280A"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p>
    <w:p w:rsidR="00F74441" w:rsidRPr="00C926D0" w:rsidP="003C7058" w14:paraId="7E34DE79" w14:textId="77777777">
      <w:pPr>
        <w:spacing w:line="360" w:lineRule="auto"/>
        <w:jc w:val="center"/>
        <w:rPr>
          <w:b/>
          <w:sz w:val="24"/>
          <w:szCs w:val="24"/>
          <w:highlight w:val="white"/>
          <w:u w:val="single"/>
        </w:rPr>
      </w:pPr>
      <w:r w:rsidRPr="00C926D0">
        <w:rPr>
          <w:b/>
          <w:sz w:val="24"/>
          <w:szCs w:val="24"/>
          <w:highlight w:val="white"/>
          <w:u w:val="single"/>
        </w:rPr>
        <w:t>VEREADOR JOÃO VICTOR GASPARINI</w:t>
      </w:r>
    </w:p>
    <w:p w:rsidR="00F74441" w:rsidRPr="00C926D0" w:rsidP="003C7058" w14:paraId="4D47B5CD" w14:textId="77777777">
      <w:pPr>
        <w:spacing w:line="360" w:lineRule="auto"/>
        <w:jc w:val="center"/>
        <w:rPr>
          <w:sz w:val="24"/>
          <w:szCs w:val="24"/>
        </w:rPr>
      </w:pPr>
      <w:r w:rsidRPr="00C926D0">
        <w:rPr>
          <w:sz w:val="24"/>
          <w:szCs w:val="24"/>
        </w:rPr>
        <w:t>Relator</w:t>
      </w:r>
    </w:p>
    <w:p w:rsidR="003D6D21" w:rsidRPr="00C926D0" w:rsidP="003C7058" w14:paraId="5B4E1E8B" w14:textId="77777777">
      <w:pPr>
        <w:spacing w:line="360" w:lineRule="auto"/>
        <w:jc w:val="both"/>
        <w:rPr>
          <w:sz w:val="24"/>
          <w:szCs w:val="24"/>
        </w:rPr>
      </w:pPr>
    </w:p>
    <w:p w:rsidR="00F74441" w:rsidRPr="00C926D0" w:rsidP="003C7058" w14:paraId="0B276300" w14:textId="77777777">
      <w:pPr>
        <w:spacing w:line="360" w:lineRule="auto"/>
        <w:jc w:val="both"/>
        <w:rPr>
          <w:sz w:val="24"/>
          <w:szCs w:val="24"/>
        </w:rPr>
      </w:pPr>
      <w:r>
        <w:rPr>
          <w:sz w:val="24"/>
          <w:szCs w:val="24"/>
        </w:rPr>
        <w:pict>
          <v:rect id="_x0000_i1031" style="width:0;height:0.75pt" o:hralign="center" o:hrstd="t" o:hrnoshade="t" o:hr="t" fillcolor="#404040" stroked="f"/>
        </w:pict>
      </w:r>
    </w:p>
    <w:p w:rsidR="00C926D0" w:rsidRPr="00C926D0" w:rsidP="003C7058" w14:paraId="010DA84F" w14:textId="7F38FE2D">
      <w:pPr>
        <w:spacing w:line="360" w:lineRule="auto"/>
        <w:jc w:val="both"/>
        <w:rPr>
          <w:rStyle w:val="Strong"/>
          <w:b w:val="0"/>
          <w:bCs w:val="0"/>
          <w:color w:val="404040"/>
          <w:sz w:val="24"/>
          <w:szCs w:val="24"/>
        </w:rPr>
      </w:pPr>
    </w:p>
    <w:p w:rsidR="003C7058" w:rsidP="003C7058" w14:paraId="467E074E" w14:textId="77777777">
      <w:pPr>
        <w:spacing w:line="360" w:lineRule="auto"/>
        <w:jc w:val="both"/>
        <w:rPr>
          <w:rStyle w:val="Strong"/>
          <w:bCs w:val="0"/>
          <w:color w:val="404040"/>
          <w:sz w:val="24"/>
          <w:szCs w:val="24"/>
        </w:rPr>
      </w:pPr>
    </w:p>
    <w:p w:rsidR="00F74441" w:rsidRPr="00C926D0" w:rsidP="003C7058" w14:paraId="1D4CD745" w14:textId="27EB3B0C">
      <w:pPr>
        <w:spacing w:line="360" w:lineRule="auto"/>
        <w:jc w:val="both"/>
        <w:rPr>
          <w:color w:val="404040"/>
          <w:sz w:val="24"/>
          <w:szCs w:val="24"/>
        </w:rPr>
      </w:pPr>
      <w:r w:rsidRPr="00C926D0">
        <w:rPr>
          <w:rStyle w:val="Strong"/>
          <w:bCs w:val="0"/>
          <w:color w:val="404040"/>
          <w:sz w:val="24"/>
          <w:szCs w:val="24"/>
        </w:rPr>
        <w:t>REFERÊNCIAS</w:t>
      </w:r>
    </w:p>
    <w:p w:rsidR="003C7058" w:rsidP="003C7058" w14:paraId="1B30FA1E" w14:textId="75DBCA3B">
      <w:pPr>
        <w:pStyle w:val="NormalWeb"/>
        <w:numPr>
          <w:ilvl w:val="0"/>
          <w:numId w:val="29"/>
        </w:numPr>
        <w:spacing w:line="360" w:lineRule="auto"/>
      </w:pPr>
      <w:r>
        <w:rPr>
          <w:rStyle w:val="Strong"/>
        </w:rPr>
        <w:t>Projeto de Lei nº 85/2025</w:t>
      </w:r>
      <w:r>
        <w:t xml:space="preserve"> (art. 1º, </w:t>
      </w:r>
      <w:r>
        <w:t xml:space="preserve">parágrafo único; </w:t>
      </w:r>
      <w:r>
        <w:t>arts</w:t>
      </w:r>
      <w:r>
        <w:t>. 2º e 3º).</w:t>
      </w:r>
    </w:p>
    <w:p w:rsidR="003C7058" w:rsidP="003C7058" w14:paraId="40F80C2B" w14:textId="15944440">
      <w:pPr>
        <w:pStyle w:val="NormalWeb"/>
        <w:numPr>
          <w:ilvl w:val="0"/>
          <w:numId w:val="29"/>
        </w:numPr>
        <w:spacing w:line="360" w:lineRule="auto"/>
      </w:pPr>
      <w:r>
        <w:rPr>
          <w:rStyle w:val="Strong"/>
        </w:rPr>
        <w:t>Convênio CADIN nº 118/2025</w:t>
      </w:r>
      <w:r>
        <w:t xml:space="preserve"> (cabeçalho; Cláusulas 4ª a 7ª;</w:t>
      </w:r>
      <w:r>
        <w:t xml:space="preserve"> obrigações).</w:t>
      </w:r>
    </w:p>
    <w:p w:rsidR="003C7058" w:rsidP="003C7058" w14:paraId="06F79B1A" w14:textId="0ED89E54">
      <w:pPr>
        <w:pStyle w:val="NormalWeb"/>
        <w:numPr>
          <w:ilvl w:val="0"/>
          <w:numId w:val="29"/>
        </w:numPr>
        <w:spacing w:line="360" w:lineRule="auto"/>
      </w:pPr>
      <w:r>
        <w:rPr>
          <w:rStyle w:val="Strong"/>
        </w:rPr>
        <w:t>Parecer SGP</w:t>
      </w:r>
      <w:r>
        <w:t xml:space="preserve"> (com</w:t>
      </w:r>
      <w:r>
        <w:t>petência/iniciativa; conclusão).</w:t>
      </w:r>
    </w:p>
    <w:p w:rsidR="003C7058" w:rsidP="003C7058" w14:paraId="6405E0E0" w14:textId="2C4C20B0">
      <w:pPr>
        <w:pStyle w:val="NormalWeb"/>
        <w:numPr>
          <w:ilvl w:val="0"/>
          <w:numId w:val="29"/>
        </w:numPr>
        <w:spacing w:line="360" w:lineRule="auto"/>
      </w:pPr>
      <w:r>
        <w:rPr>
          <w:rStyle w:val="Strong"/>
        </w:rPr>
        <w:t>SNJ/Executivo</w:t>
      </w:r>
      <w:r>
        <w:t xml:space="preserve"> (conclusão favorável).</w:t>
      </w:r>
    </w:p>
    <w:p w:rsidR="003C7058" w:rsidP="003C7058" w14:paraId="5090E690" w14:textId="7F8EBA61">
      <w:pPr>
        <w:pStyle w:val="NormalWeb"/>
        <w:numPr>
          <w:ilvl w:val="0"/>
          <w:numId w:val="29"/>
        </w:numPr>
        <w:spacing w:line="360" w:lineRule="auto"/>
      </w:pPr>
      <w:r>
        <w:rPr>
          <w:rStyle w:val="Strong"/>
        </w:rPr>
        <w:t>Ata Comissões 13/08/2025</w:t>
      </w:r>
      <w:r>
        <w:t xml:space="preserve"> (exposição, custo/efetividade, encaminhamento)</w:t>
      </w:r>
      <w:r>
        <w:t>.</w:t>
      </w:r>
    </w:p>
    <w:p w:rsidR="00934784" w:rsidP="003C7058" w14:paraId="4F5479AC" w14:textId="23DAC7D5">
      <w:pPr>
        <w:pStyle w:val="NormalWeb"/>
        <w:numPr>
          <w:ilvl w:val="0"/>
          <w:numId w:val="29"/>
        </w:numPr>
        <w:spacing w:line="360" w:lineRule="auto"/>
        <w:jc w:val="both"/>
      </w:pPr>
      <w:r>
        <w:br w:type="page"/>
      </w:r>
    </w:p>
    <w:p w:rsidR="00C926D0" w:rsidRPr="00C926D0" w:rsidP="003C7058" w14:paraId="21C9EEEC" w14:textId="6946CB7F">
      <w:pPr>
        <w:pStyle w:val="NormalWeb"/>
        <w:spacing w:line="360" w:lineRule="auto"/>
        <w:jc w:val="center"/>
        <w:rPr>
          <w:color w:val="404040"/>
        </w:rPr>
      </w:pPr>
      <w:r w:rsidRPr="00C926D0">
        <w:rPr>
          <w:rStyle w:val="Strong"/>
          <w:color w:val="404040"/>
        </w:rPr>
        <w:t xml:space="preserve">PARECER </w:t>
      </w:r>
      <w:r w:rsidR="0042475C">
        <w:rPr>
          <w:rStyle w:val="Strong"/>
          <w:color w:val="404040"/>
        </w:rPr>
        <w:t>DA COMISSÃO</w:t>
      </w:r>
      <w:r w:rsidRPr="00C926D0">
        <w:rPr>
          <w:rStyle w:val="Strong"/>
          <w:color w:val="404040"/>
        </w:rPr>
        <w:t xml:space="preserve"> DE JUSTIÇA E </w:t>
      </w:r>
      <w:r w:rsidR="0042475C">
        <w:rPr>
          <w:rStyle w:val="Strong"/>
          <w:color w:val="404040"/>
        </w:rPr>
        <w:t>AO PROJETO DE LEI Nº 85</w:t>
      </w:r>
      <w:r w:rsidRPr="00C926D0">
        <w:rPr>
          <w:rStyle w:val="Strong"/>
          <w:color w:val="404040"/>
        </w:rPr>
        <w:t>/2025</w:t>
      </w:r>
    </w:p>
    <w:p w:rsidR="003C7058" w:rsidP="003C7058" w14:paraId="36FF74C7" w14:textId="1FA178EF">
      <w:pPr>
        <w:pStyle w:val="NormalWeb"/>
        <w:spacing w:line="360" w:lineRule="auto"/>
        <w:jc w:val="both"/>
      </w:pPr>
      <w:r w:rsidRPr="00C926D0">
        <w:rPr>
          <w:color w:val="404040"/>
        </w:rPr>
        <w:tab/>
      </w:r>
      <w:r>
        <w:t xml:space="preserve">A Comissão de Justiça e Redação, no uso de suas atribuições regimentais, nos termos do artigo 35 da Resolução nº 276, de 09 de novembro de 2010 (Regimento Interno da Câmara Municipal de Mogi Mirim), após análise do Projeto de Lei nº 85/2025, de iniciativa do Chefe do Poder Executivo, </w:t>
      </w:r>
      <w:r>
        <w:rPr>
          <w:rStyle w:val="Strong"/>
        </w:rPr>
        <w:t>opina pela sua aprovação</w:t>
      </w:r>
      <w:r>
        <w:t xml:space="preserve">, por entender que a matéria </w:t>
      </w:r>
      <w:r>
        <w:t>encontra-se</w:t>
      </w:r>
      <w:r>
        <w:t xml:space="preserve"> em conformidade com as normas constitucionais, legais e regimentais aplicáveis.</w:t>
      </w:r>
    </w:p>
    <w:p w:rsidR="003C7058" w:rsidP="003C7058" w14:paraId="012FBE3A" w14:textId="10A935B4">
      <w:pPr>
        <w:pStyle w:val="NormalWeb"/>
        <w:spacing w:line="360" w:lineRule="auto"/>
        <w:jc w:val="both"/>
      </w:pPr>
      <w:r>
        <w:tab/>
      </w:r>
      <w:r>
        <w:t xml:space="preserve">Ressalta-se, ainda, que a proposição </w:t>
      </w:r>
      <w:r>
        <w:t>reveste-se</w:t>
      </w:r>
      <w:r>
        <w:t xml:space="preserve"> de natureza </w:t>
      </w:r>
      <w:r>
        <w:rPr>
          <w:rStyle w:val="Strong"/>
        </w:rPr>
        <w:t>autorizativa</w:t>
      </w:r>
      <w:r>
        <w:t>, insere-se no âmbito de competência do Município e não apresenta vícios de iniciativa ou de constitucionalidade que possam obstar sua regular tramitação.</w:t>
      </w:r>
    </w:p>
    <w:p w:rsidR="00C926D0" w:rsidRPr="00C926D0" w:rsidP="003C7058" w14:paraId="2CD1CB90" w14:textId="50931E55">
      <w:pPr>
        <w:pStyle w:val="NormalWeb"/>
        <w:spacing w:line="360" w:lineRule="auto"/>
        <w:jc w:val="both"/>
      </w:pPr>
    </w:p>
    <w:p w:rsidR="00C926D0" w:rsidRPr="00C926D0" w:rsidP="003C7058" w14:paraId="077B16AD" w14:textId="77777777">
      <w:pPr>
        <w:pStyle w:val="NormalWeb"/>
        <w:spacing w:line="360" w:lineRule="auto"/>
        <w:jc w:val="both"/>
      </w:pPr>
    </w:p>
    <w:p w:rsidR="00C926D0" w:rsidRPr="00C926D0" w:rsidP="003C7058" w14:paraId="5E75B44B" w14:textId="77777777">
      <w:pPr>
        <w:pStyle w:val="NormalWeb"/>
        <w:spacing w:line="360" w:lineRule="auto"/>
        <w:jc w:val="both"/>
        <w:rPr>
          <w:color w:val="404040"/>
        </w:rPr>
      </w:pPr>
    </w:p>
    <w:p w:rsidR="005C2F3A" w:rsidRPr="00C926D0" w:rsidP="003C7058" w14:paraId="62681F87" w14:textId="77777777">
      <w:pPr>
        <w:pStyle w:val="NormalWeb"/>
        <w:spacing w:line="360" w:lineRule="auto"/>
        <w:jc w:val="center"/>
        <w:rPr>
          <w:color w:val="404040"/>
          <w:u w:val="single"/>
        </w:rPr>
      </w:pPr>
      <w:r w:rsidRPr="00C926D0">
        <w:rPr>
          <w:b/>
          <w:u w:val="single"/>
        </w:rPr>
        <w:t>COMISSÃO DE JUSTIÇA E REDAÇÃO</w:t>
      </w:r>
    </w:p>
    <w:p w:rsidR="005C2F3A" w:rsidRPr="00C926D0" w:rsidP="003C7058" w14:paraId="4F8E5A5B"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WAGNER RICARDO PEREIRA</w:t>
      </w:r>
      <w:r w:rsidRPr="00C926D0">
        <w:rPr>
          <w:b/>
          <w:sz w:val="24"/>
          <w:szCs w:val="24"/>
        </w:rPr>
        <w:br/>
      </w:r>
      <w:r w:rsidRPr="00C926D0">
        <w:rPr>
          <w:sz w:val="24"/>
          <w:szCs w:val="24"/>
        </w:rPr>
        <w:t>Presidente</w:t>
      </w:r>
    </w:p>
    <w:p w:rsidR="005C2F3A" w:rsidRPr="00C926D0" w:rsidP="003C7058" w14:paraId="232D2682" w14:textId="77777777">
      <w:pPr>
        <w:spacing w:before="240" w:line="360" w:lineRule="auto"/>
        <w:jc w:val="center"/>
        <w:rPr>
          <w:i/>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MANOEL EDUARDO PEREIRA DA CRUZ PALOMINO</w:t>
      </w:r>
      <w:r w:rsidRPr="00C926D0">
        <w:rPr>
          <w:b/>
          <w:sz w:val="24"/>
          <w:szCs w:val="24"/>
        </w:rPr>
        <w:br/>
      </w:r>
      <w:r w:rsidRPr="00C926D0">
        <w:rPr>
          <w:sz w:val="24"/>
          <w:szCs w:val="24"/>
        </w:rPr>
        <w:t>Vice-Presidente</w:t>
      </w:r>
    </w:p>
    <w:p w:rsidR="005C2F3A" w:rsidRPr="00C926D0" w:rsidP="003C7058" w14:paraId="162B0DB7" w14:textId="47E96DB6">
      <w:pPr>
        <w:spacing w:before="240" w:line="360" w:lineRule="auto"/>
        <w:jc w:val="center"/>
        <w:rPr>
          <w:sz w:val="24"/>
          <w:szCs w:val="24"/>
        </w:rPr>
      </w:pPr>
      <w:r w:rsidRPr="00C926D0">
        <w:rPr>
          <w:bCs/>
          <w:i/>
          <w:sz w:val="24"/>
          <w:szCs w:val="24"/>
        </w:rPr>
        <w:t>(</w:t>
      </w:r>
      <w:r w:rsidRPr="00C926D0">
        <w:rPr>
          <w:bCs/>
          <w:i/>
          <w:sz w:val="24"/>
          <w:szCs w:val="24"/>
        </w:rPr>
        <w:t>assinado</w:t>
      </w:r>
      <w:r w:rsidRPr="00C926D0">
        <w:rPr>
          <w:bCs/>
          <w:i/>
          <w:sz w:val="24"/>
          <w:szCs w:val="24"/>
        </w:rPr>
        <w:t xml:space="preserve"> digitalmente)</w:t>
      </w:r>
      <w:r w:rsidRPr="00C926D0">
        <w:rPr>
          <w:bCs/>
          <w:i/>
          <w:sz w:val="24"/>
          <w:szCs w:val="24"/>
        </w:rPr>
        <w:br/>
      </w:r>
      <w:r w:rsidRPr="00C926D0">
        <w:rPr>
          <w:b/>
          <w:sz w:val="24"/>
          <w:szCs w:val="24"/>
        </w:rPr>
        <w:t>VEREADOR JOÃO VICTOR GASPARINI</w:t>
      </w:r>
      <w:r w:rsidRPr="00C926D0">
        <w:rPr>
          <w:b/>
          <w:sz w:val="24"/>
          <w:szCs w:val="24"/>
        </w:rPr>
        <w:br/>
      </w:r>
      <w:r w:rsidRPr="00C926D0">
        <w:rPr>
          <w:sz w:val="24"/>
          <w:szCs w:val="24"/>
        </w:rPr>
        <w:t>Membro</w:t>
      </w:r>
    </w:p>
    <w:p w:rsidR="00C926D0" w:rsidP="003C7058" w14:paraId="0D5D4077" w14:textId="77777777">
      <w:pPr>
        <w:spacing w:before="240" w:line="360" w:lineRule="auto"/>
        <w:jc w:val="center"/>
        <w:rPr>
          <w:sz w:val="24"/>
          <w:szCs w:val="24"/>
        </w:rPr>
      </w:pPr>
    </w:p>
    <w:p w:rsidR="003C73BE" w:rsidP="003C7058" w14:paraId="52263E72" w14:textId="77777777">
      <w:pPr>
        <w:spacing w:before="240" w:line="360" w:lineRule="auto"/>
        <w:jc w:val="center"/>
        <w:rPr>
          <w:sz w:val="24"/>
          <w:szCs w:val="24"/>
        </w:rPr>
      </w:pPr>
    </w:p>
    <w:p w:rsidR="00C926D0" w:rsidRPr="00C926D0" w:rsidP="003C7058" w14:paraId="64929888" w14:textId="77777777">
      <w:pPr>
        <w:spacing w:before="240" w:line="360" w:lineRule="auto"/>
        <w:jc w:val="center"/>
        <w:rPr>
          <w:sz w:val="24"/>
          <w:szCs w:val="24"/>
        </w:rPr>
      </w:pPr>
      <w:bookmarkStart w:id="0" w:name="_GoBack"/>
      <w:bookmarkEnd w:id="0"/>
    </w:p>
    <w:p w:rsidR="005C2F3A" w:rsidRPr="00C926D0" w:rsidP="003C7058" w14:paraId="50E1BF62" w14:textId="0DFE27C7">
      <w:pPr>
        <w:spacing w:line="360" w:lineRule="auto"/>
        <w:jc w:val="both"/>
        <w:rPr>
          <w:b/>
          <w:sz w:val="24"/>
          <w:szCs w:val="24"/>
          <w:u w:val="single"/>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392FE7"/>
    <w:multiLevelType w:val="hybridMultilevel"/>
    <w:tmpl w:val="C228F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54647A2"/>
    <w:multiLevelType w:val="multilevel"/>
    <w:tmpl w:val="CDE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B5F50"/>
    <w:multiLevelType w:val="hybridMultilevel"/>
    <w:tmpl w:val="6FEAB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B794B24"/>
    <w:multiLevelType w:val="hybridMultilevel"/>
    <w:tmpl w:val="DAA21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3B82330"/>
    <w:multiLevelType w:val="multilevel"/>
    <w:tmpl w:val="6852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63635D9"/>
    <w:multiLevelType w:val="hybridMultilevel"/>
    <w:tmpl w:val="0884FD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9CA10EA"/>
    <w:multiLevelType w:val="hybridMultilevel"/>
    <w:tmpl w:val="1B0AA3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375DEB"/>
    <w:multiLevelType w:val="multilevel"/>
    <w:tmpl w:val="A64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885E91"/>
    <w:multiLevelType w:val="multilevel"/>
    <w:tmpl w:val="38C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643155"/>
    <w:multiLevelType w:val="hybridMultilevel"/>
    <w:tmpl w:val="A6C43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AFA537A"/>
    <w:multiLevelType w:val="hybridMultilevel"/>
    <w:tmpl w:val="4EEE56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554C3"/>
    <w:multiLevelType w:val="hybridMultilevel"/>
    <w:tmpl w:val="14A67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249273E"/>
    <w:multiLevelType w:val="multilevel"/>
    <w:tmpl w:val="7D4C4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89617A"/>
    <w:multiLevelType w:val="hybridMultilevel"/>
    <w:tmpl w:val="7E3082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A95C4C"/>
    <w:multiLevelType w:val="multilevel"/>
    <w:tmpl w:val="2328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2"/>
  </w:num>
  <w:num w:numId="4">
    <w:abstractNumId w:val="9"/>
  </w:num>
  <w:num w:numId="5">
    <w:abstractNumId w:val="23"/>
  </w:num>
  <w:num w:numId="6">
    <w:abstractNumId w:val="27"/>
  </w:num>
  <w:num w:numId="7">
    <w:abstractNumId w:val="5"/>
  </w:num>
  <w:num w:numId="8">
    <w:abstractNumId w:val="11"/>
  </w:num>
  <w:num w:numId="9">
    <w:abstractNumId w:val="8"/>
  </w:num>
  <w:num w:numId="10">
    <w:abstractNumId w:val="7"/>
  </w:num>
  <w:num w:numId="11">
    <w:abstractNumId w:val="6"/>
  </w:num>
  <w:num w:numId="12">
    <w:abstractNumId w:val="19"/>
  </w:num>
  <w:num w:numId="13">
    <w:abstractNumId w:val="1"/>
  </w:num>
  <w:num w:numId="14">
    <w:abstractNumId w:val="4"/>
  </w:num>
  <w:num w:numId="15">
    <w:abstractNumId w:val="16"/>
  </w:num>
  <w:num w:numId="16">
    <w:abstractNumId w:val="17"/>
  </w:num>
  <w:num w:numId="17">
    <w:abstractNumId w:val="14"/>
  </w:num>
  <w:num w:numId="18">
    <w:abstractNumId w:val="21"/>
  </w:num>
  <w:num w:numId="19">
    <w:abstractNumId w:val="24"/>
  </w:num>
  <w:num w:numId="20">
    <w:abstractNumId w:val="26"/>
  </w:num>
  <w:num w:numId="21">
    <w:abstractNumId w:val="13"/>
  </w:num>
  <w:num w:numId="22">
    <w:abstractNumId w:val="12"/>
  </w:num>
  <w:num w:numId="23">
    <w:abstractNumId w:val="25"/>
  </w:num>
  <w:num w:numId="24">
    <w:abstractNumId w:val="22"/>
  </w:num>
  <w:num w:numId="25">
    <w:abstractNumId w:val="20"/>
  </w:num>
  <w:num w:numId="26">
    <w:abstractNumId w:val="3"/>
  </w:num>
  <w:num w:numId="27">
    <w:abstractNumId w:val="28"/>
  </w:num>
  <w:num w:numId="28">
    <w:abstractNumId w:val="15"/>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468A3"/>
    <w:rsid w:val="00070FE7"/>
    <w:rsid w:val="00071EF2"/>
    <w:rsid w:val="0008150E"/>
    <w:rsid w:val="00096F36"/>
    <w:rsid w:val="000A1BE0"/>
    <w:rsid w:val="000B5637"/>
    <w:rsid w:val="000D5B4B"/>
    <w:rsid w:val="000F4933"/>
    <w:rsid w:val="00126AE5"/>
    <w:rsid w:val="00147B39"/>
    <w:rsid w:val="0015590E"/>
    <w:rsid w:val="00161C7F"/>
    <w:rsid w:val="00181506"/>
    <w:rsid w:val="00187FC6"/>
    <w:rsid w:val="00192536"/>
    <w:rsid w:val="001A3CE4"/>
    <w:rsid w:val="001B7303"/>
    <w:rsid w:val="0020165D"/>
    <w:rsid w:val="00213987"/>
    <w:rsid w:val="00227106"/>
    <w:rsid w:val="00227E2C"/>
    <w:rsid w:val="00234376"/>
    <w:rsid w:val="0024645C"/>
    <w:rsid w:val="00297379"/>
    <w:rsid w:val="002A2BD3"/>
    <w:rsid w:val="002B71AC"/>
    <w:rsid w:val="003121C8"/>
    <w:rsid w:val="00314B47"/>
    <w:rsid w:val="00322469"/>
    <w:rsid w:val="00330DDB"/>
    <w:rsid w:val="00371A69"/>
    <w:rsid w:val="0038129E"/>
    <w:rsid w:val="00381C00"/>
    <w:rsid w:val="003A5737"/>
    <w:rsid w:val="003A796B"/>
    <w:rsid w:val="003B1A59"/>
    <w:rsid w:val="003C7058"/>
    <w:rsid w:val="003C73BE"/>
    <w:rsid w:val="003D6D21"/>
    <w:rsid w:val="003F0B47"/>
    <w:rsid w:val="00405098"/>
    <w:rsid w:val="0042475C"/>
    <w:rsid w:val="00446FA1"/>
    <w:rsid w:val="00456770"/>
    <w:rsid w:val="004740DD"/>
    <w:rsid w:val="00493FCA"/>
    <w:rsid w:val="004B6FDF"/>
    <w:rsid w:val="004D46DA"/>
    <w:rsid w:val="004D7E50"/>
    <w:rsid w:val="004E6092"/>
    <w:rsid w:val="005242B1"/>
    <w:rsid w:val="005559D9"/>
    <w:rsid w:val="0057515A"/>
    <w:rsid w:val="005A235E"/>
    <w:rsid w:val="005B766F"/>
    <w:rsid w:val="005C2F3A"/>
    <w:rsid w:val="005E491E"/>
    <w:rsid w:val="005F2654"/>
    <w:rsid w:val="005F4E55"/>
    <w:rsid w:val="005F54DA"/>
    <w:rsid w:val="00613747"/>
    <w:rsid w:val="006834FE"/>
    <w:rsid w:val="00697874"/>
    <w:rsid w:val="006A54A9"/>
    <w:rsid w:val="006E0AD3"/>
    <w:rsid w:val="007038AD"/>
    <w:rsid w:val="0070466D"/>
    <w:rsid w:val="007362C7"/>
    <w:rsid w:val="007556D8"/>
    <w:rsid w:val="0078178E"/>
    <w:rsid w:val="00784CD4"/>
    <w:rsid w:val="00785E1B"/>
    <w:rsid w:val="007A08D1"/>
    <w:rsid w:val="00805ED4"/>
    <w:rsid w:val="00842408"/>
    <w:rsid w:val="00850EEC"/>
    <w:rsid w:val="00855DD2"/>
    <w:rsid w:val="00864928"/>
    <w:rsid w:val="00881E60"/>
    <w:rsid w:val="008905C2"/>
    <w:rsid w:val="00896E82"/>
    <w:rsid w:val="008A537A"/>
    <w:rsid w:val="008B2B4D"/>
    <w:rsid w:val="008C08C5"/>
    <w:rsid w:val="008C4AA2"/>
    <w:rsid w:val="00902EE1"/>
    <w:rsid w:val="00904ADF"/>
    <w:rsid w:val="00904CFE"/>
    <w:rsid w:val="00914ADC"/>
    <w:rsid w:val="00920A3F"/>
    <w:rsid w:val="00925E1A"/>
    <w:rsid w:val="00934784"/>
    <w:rsid w:val="009914A7"/>
    <w:rsid w:val="00993823"/>
    <w:rsid w:val="009D6B7C"/>
    <w:rsid w:val="009E1883"/>
    <w:rsid w:val="009F0405"/>
    <w:rsid w:val="00A00E3E"/>
    <w:rsid w:val="00A12DD9"/>
    <w:rsid w:val="00A164DC"/>
    <w:rsid w:val="00A27446"/>
    <w:rsid w:val="00A442B4"/>
    <w:rsid w:val="00A672C0"/>
    <w:rsid w:val="00AD2770"/>
    <w:rsid w:val="00AD4B45"/>
    <w:rsid w:val="00AE5858"/>
    <w:rsid w:val="00AF0C05"/>
    <w:rsid w:val="00AF3296"/>
    <w:rsid w:val="00AF4AC7"/>
    <w:rsid w:val="00B01151"/>
    <w:rsid w:val="00B57090"/>
    <w:rsid w:val="00B849D9"/>
    <w:rsid w:val="00BA48C7"/>
    <w:rsid w:val="00BE41D6"/>
    <w:rsid w:val="00BF2A6F"/>
    <w:rsid w:val="00C10154"/>
    <w:rsid w:val="00C104F1"/>
    <w:rsid w:val="00C74E3F"/>
    <w:rsid w:val="00C75973"/>
    <w:rsid w:val="00C926D0"/>
    <w:rsid w:val="00CA4349"/>
    <w:rsid w:val="00CC3E72"/>
    <w:rsid w:val="00CC602E"/>
    <w:rsid w:val="00CF288D"/>
    <w:rsid w:val="00D233F3"/>
    <w:rsid w:val="00D33D19"/>
    <w:rsid w:val="00D52DAE"/>
    <w:rsid w:val="00D543E6"/>
    <w:rsid w:val="00D635A7"/>
    <w:rsid w:val="00D66197"/>
    <w:rsid w:val="00D735E2"/>
    <w:rsid w:val="00D80A2E"/>
    <w:rsid w:val="00D81BDB"/>
    <w:rsid w:val="00D9258F"/>
    <w:rsid w:val="00DA7AB4"/>
    <w:rsid w:val="00DB5B53"/>
    <w:rsid w:val="00DB7A5A"/>
    <w:rsid w:val="00DC3C63"/>
    <w:rsid w:val="00DE2A9A"/>
    <w:rsid w:val="00DF605F"/>
    <w:rsid w:val="00E11ECC"/>
    <w:rsid w:val="00E3543A"/>
    <w:rsid w:val="00E57668"/>
    <w:rsid w:val="00E624EC"/>
    <w:rsid w:val="00E7438B"/>
    <w:rsid w:val="00EA0447"/>
    <w:rsid w:val="00EA375D"/>
    <w:rsid w:val="00EB1570"/>
    <w:rsid w:val="00EB3C9A"/>
    <w:rsid w:val="00EB76DA"/>
    <w:rsid w:val="00EC5677"/>
    <w:rsid w:val="00ED22AB"/>
    <w:rsid w:val="00ED7D93"/>
    <w:rsid w:val="00EE457C"/>
    <w:rsid w:val="00EF4DE4"/>
    <w:rsid w:val="00EF630E"/>
    <w:rsid w:val="00F10F57"/>
    <w:rsid w:val="00F21F60"/>
    <w:rsid w:val="00F304D4"/>
    <w:rsid w:val="00F42F8D"/>
    <w:rsid w:val="00F55E24"/>
    <w:rsid w:val="00F6339A"/>
    <w:rsid w:val="00F733EC"/>
    <w:rsid w:val="00F74441"/>
    <w:rsid w:val="00F83282"/>
    <w:rsid w:val="00F91A1F"/>
    <w:rsid w:val="00F91F4B"/>
    <w:rsid w:val="00F921DB"/>
    <w:rsid w:val="00FA6BC2"/>
    <w:rsid w:val="00FE7AE5"/>
    <w:rsid w:val="00FF139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593</TotalTime>
  <Pages>6</Pages>
  <Words>1542</Words>
  <Characters>8333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JV Gasparini</cp:lastModifiedBy>
  <cp:revision>24</cp:revision>
  <cp:lastPrinted>2025-06-11T15:44:00Z</cp:lastPrinted>
  <dcterms:created xsi:type="dcterms:W3CDTF">2025-02-12T16:35:00Z</dcterms:created>
  <dcterms:modified xsi:type="dcterms:W3CDTF">2025-08-28T17:06:00Z</dcterms:modified>
</cp:coreProperties>
</file>