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 w14:paraId="2335E29E" w14:textId="4F8B8F8A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Substitutivo Nº 1 ao Projeto de Lei Nº 96/2025</w:t>
      </w:r>
      <w:r>
        <w:rPr>
          <w:rFonts w:ascii="Times New Roman" w:eastAsia="Times New Roman" w:hAnsi="Times New Roman" w:cs="Times New Roman"/>
          <w:sz w:val="24"/>
          <w:szCs w:val="24"/>
        </w:rPr>
        <w:t>Substitutivo Nº 1 ao Projeto de Lei Nº 96/2025</w:t>
      </w:r>
      <w:bookmarkStart w:id="0" w:name="_GoBack"/>
      <w:bookmarkEnd w:id="0"/>
    </w:p>
    <w:p w:rsidR="00CF1474" w14:paraId="6B1C0BC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14:paraId="65439A91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14:paraId="6D8D9E57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b/>
          <w:sz w:val="24"/>
          <w:szCs w:val="24"/>
        </w:rPr>
        <w:t>Dispõe sobre a facultatividade da participação e contribuição financeira dos moradores em associações de bairro no município de Mogi Mirim, e dá outras providências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 w14:paraId="6D005E7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2E6929" w14:paraId="423627B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2E6929" w14:paraId="329F9CB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 w:rsidP="002E6929" w14:paraId="304CA3A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602B26" w:rsidP="002E6929" w14:paraId="072FF35A" w14:textId="23218B6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1º Fica estabelecido que a participação e a contribuição financeira de moradores em associações de bairro no âmbito do Município de </w:t>
      </w:r>
      <w:r w:rsidRPr="00602B26" w:rsidR="00320260">
        <w:rPr>
          <w:rFonts w:ascii="Times New Roman" w:eastAsia="Times New Roman" w:hAnsi="Times New Roman" w:cs="Times New Roman"/>
          <w:sz w:val="24"/>
          <w:szCs w:val="24"/>
        </w:rPr>
        <w:t>Mogi Mirim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são de caráter facultativo</w:t>
      </w:r>
      <w:r w:rsidRPr="00602B26" w:rsidR="00811A4D">
        <w:rPr>
          <w:rFonts w:ascii="Times New Roman" w:eastAsia="Times New Roman" w:hAnsi="Times New Roman" w:cs="Times New Roman"/>
          <w:sz w:val="24"/>
          <w:szCs w:val="24"/>
        </w:rPr>
        <w:t xml:space="preserve">, conforme preconiza </w:t>
      </w:r>
      <w:r w:rsidRPr="00602B26" w:rsidR="004A0E5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2B26" w:rsidR="00811A4D">
        <w:rPr>
          <w:rFonts w:ascii="Times New Roman" w:eastAsia="Times New Roman" w:hAnsi="Times New Roman" w:cs="Times New Roman"/>
          <w:sz w:val="24"/>
          <w:szCs w:val="24"/>
        </w:rPr>
        <w:t>rt. 5º, inciso XX, da Constituição Federal, pacificado pelo</w:t>
      </w:r>
      <w:r w:rsidRPr="00602B26" w:rsidR="00AD0F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 w:rsidR="00811A4D">
        <w:rPr>
          <w:rFonts w:ascii="Times New Roman" w:eastAsia="Times New Roman" w:hAnsi="Times New Roman" w:cs="Times New Roman"/>
          <w:sz w:val="24"/>
          <w:szCs w:val="24"/>
        </w:rPr>
        <w:t xml:space="preserve"> Tema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>s n°</w:t>
      </w:r>
      <w:r w:rsidRPr="00602B26" w:rsidR="0081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6239D6">
        <w:rPr>
          <w:rFonts w:ascii="Times New Roman" w:eastAsia="Times New Roman" w:hAnsi="Times New Roman" w:cs="Times New Roman"/>
          <w:sz w:val="24"/>
          <w:szCs w:val="24"/>
        </w:rPr>
        <w:t xml:space="preserve">492 do STF e </w:t>
      </w:r>
      <w:r w:rsidRPr="00602B26" w:rsidR="00AD0F12">
        <w:rPr>
          <w:rFonts w:ascii="Times New Roman" w:eastAsia="Times New Roman" w:hAnsi="Times New Roman" w:cs="Times New Roman"/>
          <w:sz w:val="24"/>
          <w:szCs w:val="24"/>
        </w:rPr>
        <w:t>882 do STJ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9F9" w:rsidRPr="00602B26" w:rsidP="002E6929" w14:paraId="55976C7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E6929" w14:paraId="2D28972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Art. 2º Nenhum morador poderá ser obrigado a se associar ou a contribuir com qualquer taxa, mensalidade ou contribuição, salvo manifestação expressa de sua vontade.</w:t>
      </w:r>
    </w:p>
    <w:p w:rsidR="002809F9" w:rsidRPr="00602B26" w:rsidP="002E6929" w14:paraId="093B740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E6929" w14:paraId="48E0227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Art. 3º As associações de bairro não poderão impor restrições, penalidades ou impedir o usufruto de espaços, ou serviços públicos aos moradores que optarem por não se associar.</w:t>
      </w:r>
    </w:p>
    <w:p w:rsidR="002809F9" w:rsidRPr="00602B26" w:rsidP="002E6929" w14:paraId="5996FFD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7B5" w:rsidRPr="00602B26" w:rsidP="002E6929" w14:paraId="17C102E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812" w:rsidRPr="00602B26" w:rsidP="002E6929" w14:paraId="47F7D363" w14:textId="1D146A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24595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° Fica vedada a cobrança </w:t>
      </w:r>
      <w:r w:rsidRPr="00602B26" w:rsidR="00496023">
        <w:rPr>
          <w:rFonts w:ascii="Times New Roman" w:eastAsia="Times New Roman" w:hAnsi="Times New Roman" w:cs="Times New Roman"/>
          <w:sz w:val="24"/>
          <w:szCs w:val="24"/>
        </w:rPr>
        <w:t xml:space="preserve">pelas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associações de </w:t>
      </w:r>
      <w:r w:rsidRPr="00602B26" w:rsidR="003312D9">
        <w:rPr>
          <w:rFonts w:ascii="Times New Roman" w:eastAsia="Times New Roman" w:hAnsi="Times New Roman" w:cs="Times New Roman"/>
          <w:sz w:val="24"/>
          <w:szCs w:val="24"/>
        </w:rPr>
        <w:t>bairro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496023">
        <w:rPr>
          <w:rFonts w:ascii="Times New Roman" w:eastAsia="Times New Roman" w:hAnsi="Times New Roman" w:cs="Times New Roman"/>
          <w:sz w:val="24"/>
          <w:szCs w:val="24"/>
        </w:rPr>
        <w:t xml:space="preserve">em face dos moradores e proprietários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que não </w:t>
      </w:r>
      <w:r w:rsidRPr="00602B26" w:rsidR="008C0DAC">
        <w:rPr>
          <w:rFonts w:ascii="Times New Roman" w:eastAsia="Times New Roman" w:hAnsi="Times New Roman" w:cs="Times New Roman"/>
          <w:sz w:val="24"/>
          <w:szCs w:val="24"/>
        </w:rPr>
        <w:t>possuam os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requisitos do Art. 2, § 8° da 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602B26" w:rsidR="004A0E5A">
        <w:rPr>
          <w:rFonts w:ascii="Times New Roman" w:eastAsia="Times New Roman" w:hAnsi="Times New Roman" w:cs="Times New Roman"/>
          <w:sz w:val="24"/>
          <w:szCs w:val="24"/>
        </w:rPr>
        <w:t>n.º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2B26" w:rsidR="000C4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766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1979</w:t>
      </w:r>
      <w:r w:rsidRPr="00602B26" w:rsidR="008C0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2B26" w:rsidR="000C4E33">
        <w:rPr>
          <w:rFonts w:ascii="Times New Roman" w:eastAsia="Times New Roman" w:hAnsi="Times New Roman" w:cs="Times New Roman"/>
          <w:sz w:val="24"/>
          <w:szCs w:val="24"/>
        </w:rPr>
        <w:t xml:space="preserve">inserido pelo Art. 78 da 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>Lei n.°</w:t>
      </w:r>
      <w:r w:rsidRPr="00602B26" w:rsidR="000C4E33">
        <w:rPr>
          <w:rFonts w:ascii="Times New Roman" w:eastAsia="Times New Roman" w:hAnsi="Times New Roman" w:cs="Times New Roman"/>
          <w:sz w:val="24"/>
          <w:szCs w:val="24"/>
        </w:rPr>
        <w:t xml:space="preserve">13.465 de 2017,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que não tenha</w:t>
      </w:r>
      <w:r w:rsidRPr="00602B26" w:rsidR="001000DC">
        <w:rPr>
          <w:rFonts w:ascii="Times New Roman" w:eastAsia="Times New Roman" w:hAnsi="Times New Roman" w:cs="Times New Roman"/>
          <w:sz w:val="24"/>
          <w:szCs w:val="24"/>
        </w:rPr>
        <w:t>m o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acesso controlado</w:t>
      </w:r>
      <w:r w:rsidRPr="00602B26" w:rsidR="001000DC">
        <w:rPr>
          <w:rFonts w:ascii="Times New Roman" w:eastAsia="Times New Roman" w:hAnsi="Times New Roman" w:cs="Times New Roman"/>
          <w:sz w:val="24"/>
          <w:szCs w:val="24"/>
        </w:rPr>
        <w:t xml:space="preserve"> devidamente</w:t>
      </w:r>
      <w:r w:rsidRPr="00602B26" w:rsidR="000C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autorizado pelo Município,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inclusive aquelas que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não preste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serviços essenciais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812" w:rsidRPr="00602B26" w:rsidP="002E6929" w14:paraId="73AFE41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7B5" w:rsidRPr="00602B26" w:rsidP="002E6929" w14:paraId="429C96B3" w14:textId="4E453C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2459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602B26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312D9">
        <w:rPr>
          <w:rFonts w:ascii="Times New Roman" w:eastAsia="Times New Roman" w:hAnsi="Times New Roman" w:cs="Times New Roman"/>
          <w:sz w:val="24"/>
          <w:szCs w:val="24"/>
        </w:rPr>
        <w:t>As associações de moradores dos loteamentos s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ó poderão cobrar taxa de manutenção 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 xml:space="preserve">se devidamente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autorizados</w:t>
      </w:r>
      <w:r w:rsidRPr="00602B26" w:rsidR="008C0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>e regularizado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8C0DAC">
        <w:rPr>
          <w:rFonts w:ascii="Times New Roman" w:eastAsia="Times New Roman" w:hAnsi="Times New Roman" w:cs="Times New Roman"/>
          <w:sz w:val="24"/>
          <w:szCs w:val="24"/>
        </w:rPr>
        <w:t xml:space="preserve">pelo 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2B26" w:rsidR="008C0DAC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>público, inclusive</w:t>
      </w:r>
      <w:r w:rsidRPr="00602B26" w:rsidR="00D419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>quaisquer</w:t>
      </w:r>
      <w:r w:rsidRPr="00602B26" w:rsidR="00C55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>prestações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 xml:space="preserve"> de serviços</w:t>
      </w:r>
      <w:r w:rsidRPr="00602B26" w:rsidR="00C555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2B26" w:rsidR="00F645B7">
        <w:rPr>
          <w:rFonts w:ascii="Times New Roman" w:eastAsia="Times New Roman" w:hAnsi="Times New Roman" w:cs="Times New Roman"/>
          <w:sz w:val="24"/>
          <w:szCs w:val="24"/>
        </w:rPr>
        <w:t>desde que tais atividades estejam previstas com as regularidades fiscais do CNAE da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F645B7">
        <w:rPr>
          <w:rFonts w:ascii="Times New Roman" w:eastAsia="Times New Roman" w:hAnsi="Times New Roman" w:cs="Times New Roman"/>
          <w:sz w:val="24"/>
          <w:szCs w:val="24"/>
        </w:rPr>
        <w:t>associação e comprovada a capacitação técnica para prestar tais serviços, inclusive, a</w:t>
      </w:r>
      <w:r w:rsidRPr="00602B26" w:rsidR="00E6661A">
        <w:rPr>
          <w:rFonts w:ascii="Times New Roman" w:eastAsia="Times New Roman" w:hAnsi="Times New Roman" w:cs="Times New Roman"/>
          <w:sz w:val="24"/>
          <w:szCs w:val="24"/>
        </w:rPr>
        <w:t xml:space="preserve"> contratação de empresas terceirizadas</w:t>
      </w:r>
      <w:r w:rsidRPr="00602B26" w:rsidR="00F64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C5556E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602B26" w:rsidR="0049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C5556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184D4D">
        <w:rPr>
          <w:rFonts w:ascii="Times New Roman" w:eastAsia="Times New Roman" w:hAnsi="Times New Roman" w:cs="Times New Roman"/>
          <w:sz w:val="24"/>
          <w:szCs w:val="24"/>
        </w:rPr>
        <w:t>segurança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C5556E">
        <w:rPr>
          <w:rFonts w:ascii="Times New Roman" w:eastAsia="Times New Roman" w:hAnsi="Times New Roman" w:cs="Times New Roman"/>
          <w:sz w:val="24"/>
          <w:szCs w:val="24"/>
        </w:rPr>
        <w:t>privada</w:t>
      </w:r>
      <w:r w:rsidRPr="00602B26" w:rsidR="00184D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6661A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602B26" w:rsidR="00F645B7">
        <w:rPr>
          <w:rFonts w:ascii="Times New Roman" w:eastAsia="Times New Roman" w:hAnsi="Times New Roman" w:cs="Times New Roman"/>
          <w:sz w:val="24"/>
          <w:szCs w:val="24"/>
        </w:rPr>
        <w:t xml:space="preserve">obrigatoriamente </w:t>
      </w:r>
      <w:r w:rsidRPr="00602B26" w:rsidR="00184D4D">
        <w:rPr>
          <w:rFonts w:ascii="Times New Roman" w:eastAsia="Times New Roman" w:hAnsi="Times New Roman" w:cs="Times New Roman"/>
          <w:sz w:val="24"/>
          <w:szCs w:val="24"/>
        </w:rPr>
        <w:t xml:space="preserve">deverão apresentar </w:t>
      </w:r>
      <w:r w:rsidRPr="00602B26" w:rsidR="00E6661A">
        <w:rPr>
          <w:rFonts w:ascii="Times New Roman" w:eastAsia="Times New Roman" w:hAnsi="Times New Roman" w:cs="Times New Roman"/>
          <w:sz w:val="24"/>
          <w:szCs w:val="24"/>
        </w:rPr>
        <w:t xml:space="preserve">as devidas licenças </w:t>
      </w:r>
      <w:r w:rsidRPr="00602B26" w:rsidR="00CF1474">
        <w:rPr>
          <w:rFonts w:ascii="Times New Roman" w:eastAsia="Times New Roman" w:hAnsi="Times New Roman" w:cs="Times New Roman"/>
          <w:sz w:val="24"/>
          <w:szCs w:val="24"/>
        </w:rPr>
        <w:t>previa</w:t>
      </w:r>
      <w:r w:rsidRPr="00602B26" w:rsidR="00E6661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5829A5">
        <w:rPr>
          <w:rFonts w:ascii="Times New Roman" w:eastAsia="Times New Roman" w:hAnsi="Times New Roman" w:cs="Times New Roman"/>
          <w:sz w:val="24"/>
          <w:szCs w:val="24"/>
        </w:rPr>
        <w:t>da Polícia Federal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5829A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5829A5">
        <w:rPr>
          <w:rFonts w:ascii="Times New Roman" w:eastAsia="Times New Roman" w:hAnsi="Times New Roman" w:cs="Times New Roman"/>
          <w:sz w:val="24"/>
          <w:szCs w:val="24"/>
        </w:rPr>
        <w:t>consonância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5829A5">
        <w:rPr>
          <w:rFonts w:ascii="Times New Roman" w:eastAsia="Times New Roman" w:hAnsi="Times New Roman" w:cs="Times New Roman"/>
          <w:sz w:val="24"/>
          <w:szCs w:val="24"/>
        </w:rPr>
        <w:t>com a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5829A5">
        <w:rPr>
          <w:rFonts w:ascii="Times New Roman" w:eastAsia="Times New Roman" w:hAnsi="Times New Roman" w:cs="Times New Roman"/>
          <w:sz w:val="24"/>
          <w:szCs w:val="24"/>
        </w:rPr>
        <w:t>Portaria n.º 18.974 de 07 de maio de 2024</w:t>
      </w:r>
      <w:r w:rsidRPr="00602B26" w:rsidR="00174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474" w:rsidRPr="00602B26" w:rsidP="002E6929" w14:paraId="3FAB268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474" w:rsidP="002E6929" w14:paraId="0ED3C9B8" w14:textId="223108A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2459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° </w:t>
      </w:r>
      <w:r w:rsidRPr="00602B26" w:rsidR="00496023">
        <w:rPr>
          <w:rFonts w:ascii="Times New Roman" w:eastAsia="Times New Roman" w:hAnsi="Times New Roman" w:cs="Times New Roman"/>
          <w:sz w:val="24"/>
          <w:szCs w:val="24"/>
        </w:rPr>
        <w:t xml:space="preserve">Fica vedada a instalação de câmeras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privadas</w:t>
      </w:r>
      <w:r w:rsidRPr="00602B26" w:rsidR="00496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02B26" w:rsidR="00496023">
        <w:rPr>
          <w:rFonts w:ascii="Times New Roman" w:eastAsia="Times New Roman" w:hAnsi="Times New Roman" w:cs="Times New Roman"/>
          <w:sz w:val="24"/>
          <w:szCs w:val="24"/>
        </w:rPr>
        <w:t xml:space="preserve"> vias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públicas, sem que </w:t>
      </w:r>
      <w:r w:rsidRPr="00602B26" w:rsidR="000E2329">
        <w:rPr>
          <w:rFonts w:ascii="Times New Roman" w:eastAsia="Times New Roman" w:hAnsi="Times New Roman" w:cs="Times New Roman"/>
          <w:sz w:val="24"/>
          <w:szCs w:val="24"/>
        </w:rPr>
        <w:t>estejam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devidamente autorizadas </w:t>
      </w:r>
      <w:r w:rsidRPr="00602B26" w:rsidR="000E2329">
        <w:rPr>
          <w:rFonts w:ascii="Times New Roman" w:eastAsia="Times New Roman" w:hAnsi="Times New Roman" w:cs="Times New Roman"/>
          <w:sz w:val="24"/>
          <w:szCs w:val="24"/>
        </w:rPr>
        <w:t xml:space="preserve">previamente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conforme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preconiza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a Lei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602B26" w:rsidR="004A0E5A">
        <w:rPr>
          <w:rFonts w:ascii="Times New Roman" w:eastAsia="Times New Roman" w:hAnsi="Times New Roman" w:cs="Times New Roman"/>
          <w:sz w:val="24"/>
          <w:szCs w:val="24"/>
        </w:rPr>
        <w:t>n.º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363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 xml:space="preserve"> de  2022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em seu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 xml:space="preserve"> 35 e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602B26" w:rsidR="00BE7446">
        <w:rPr>
          <w:rFonts w:ascii="Times New Roman" w:eastAsia="Times New Roman" w:hAnsi="Times New Roman" w:cs="Times New Roman"/>
          <w:sz w:val="24"/>
          <w:szCs w:val="24"/>
        </w:rPr>
        <w:t>, especialmente para controle</w:t>
      </w:r>
      <w:r w:rsidRPr="00602B26" w:rsidR="000E2329">
        <w:rPr>
          <w:rFonts w:ascii="Times New Roman" w:eastAsia="Times New Roman" w:hAnsi="Times New Roman" w:cs="Times New Roman"/>
          <w:sz w:val="24"/>
          <w:szCs w:val="24"/>
        </w:rPr>
        <w:t xml:space="preserve"> de acesso</w:t>
      </w:r>
      <w:r w:rsidRPr="00602B26" w:rsidR="00BE7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2B26" w:rsidR="00F2180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602B26" w:rsidR="00BE7446">
        <w:rPr>
          <w:rFonts w:ascii="Times New Roman" w:eastAsia="Times New Roman" w:hAnsi="Times New Roman" w:cs="Times New Roman"/>
          <w:sz w:val="24"/>
          <w:szCs w:val="24"/>
        </w:rPr>
        <w:t>deverão obrigatoriamente passar pelo</w:t>
      </w:r>
      <w:r w:rsidRPr="00602B26" w:rsidR="00F21802">
        <w:rPr>
          <w:rFonts w:ascii="Times New Roman" w:eastAsia="Times New Roman" w:hAnsi="Times New Roman" w:cs="Times New Roman"/>
          <w:sz w:val="24"/>
          <w:szCs w:val="24"/>
        </w:rPr>
        <w:t xml:space="preserve"> crivo</w:t>
      </w:r>
      <w:r w:rsidRPr="00602B26" w:rsidR="00BE7446">
        <w:rPr>
          <w:rFonts w:ascii="Times New Roman" w:eastAsia="Times New Roman" w:hAnsi="Times New Roman" w:cs="Times New Roman"/>
          <w:sz w:val="24"/>
          <w:szCs w:val="24"/>
        </w:rPr>
        <w:t xml:space="preserve"> ente público, apresentando toda a documentação </w:t>
      </w:r>
      <w:r w:rsidRPr="00602B26" w:rsidR="005D395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 xml:space="preserve"> atenda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 xml:space="preserve"> as normas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e portaria</w:t>
      </w:r>
      <w:r w:rsidRPr="00602B26" w:rsidR="005D3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 xml:space="preserve"> da ANATEL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>, em consonância</w:t>
      </w:r>
      <w:r w:rsidRPr="00602B26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E1316B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602B26" w:rsidR="00256126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02B26" w:rsidR="00256126">
        <w:rPr>
          <w:rFonts w:ascii="Times New Roman" w:eastAsia="Times New Roman" w:hAnsi="Times New Roman" w:cs="Times New Roman"/>
          <w:sz w:val="24"/>
          <w:szCs w:val="24"/>
        </w:rPr>
        <w:t xml:space="preserve">eral de 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02B26" w:rsidR="00256126">
        <w:rPr>
          <w:rFonts w:ascii="Times New Roman" w:eastAsia="Times New Roman" w:hAnsi="Times New Roman" w:cs="Times New Roman"/>
          <w:sz w:val="24"/>
          <w:szCs w:val="24"/>
        </w:rPr>
        <w:t xml:space="preserve">roteção de 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02B26" w:rsidR="00256126">
        <w:rPr>
          <w:rFonts w:ascii="Times New Roman" w:eastAsia="Times New Roman" w:hAnsi="Times New Roman" w:cs="Times New Roman"/>
          <w:sz w:val="24"/>
          <w:szCs w:val="24"/>
        </w:rPr>
        <w:t>ados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central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acesso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fique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instalad</w:t>
      </w:r>
      <w:r w:rsidRPr="00602B26" w:rsidR="00A7190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exclusivamente no Centro de Controle de Monitoramento</w:t>
      </w:r>
      <w:r w:rsidRPr="00602B26" w:rsidR="0060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02B26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26" w:rsidR="003C0BC0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602B26" w:rsidR="006256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B26" w:rsidP="002E6929" w14:paraId="1069B6F6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B26" w:rsidP="00602B26" w14:paraId="121A277E" w14:textId="0833E81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2459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º Esta Lei </w:t>
      </w:r>
      <w:r>
        <w:rPr>
          <w:rFonts w:ascii="Times New Roman" w:eastAsia="Times New Roman" w:hAnsi="Times New Roman" w:cs="Times New Roman"/>
          <w:sz w:val="24"/>
          <w:szCs w:val="24"/>
        </w:rPr>
        <w:t>se aplica a associações de moradores e de proprietários em loteamentos e bairros abertos, já existentes e aquelas que se formarem após aprovação da lei.</w:t>
      </w:r>
    </w:p>
    <w:p w:rsidR="0024595E" w:rsidP="00602B26" w14:paraId="7CFF3320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95E" w:rsidRPr="00602B26" w:rsidP="0024595E" w14:paraId="2D61310F" w14:textId="32EA1B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º Essa Lei não se aplica a condomínios regidos pela Lei n.º 4.591, de 16 de dezembro de 1964 (Lei dos Condomínios), nem às associações de loteamentos fechados regularizadas com previsão legal.</w:t>
      </w:r>
    </w:p>
    <w:p w:rsidR="0024595E" w:rsidRPr="00602B26" w:rsidP="00602B26" w14:paraId="6559496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B26" w:rsidP="002E6929" w14:paraId="6D347FD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B26" w:rsidRPr="00602B26" w:rsidP="002E6929" w14:paraId="557DE960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8C0DAC" w14:paraId="35417A0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03D" w:rsidRPr="00602B26" w:rsidP="002E6929" w14:paraId="2BF26D2E" w14:textId="3D9E21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602B2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º Esta Lei entra em vigor na data de sua publicação.</w:t>
      </w:r>
    </w:p>
    <w:p w:rsidR="002809F9" w:rsidRPr="00602B26" w:rsidP="002E6929" w14:paraId="0E53380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809F9" w14:paraId="2998645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602B26" w14:paraId="564E3F9C" w14:textId="67719F1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Róttoli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602B26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02B26" w:rsidR="002809F9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8260A9" w:rsidRPr="00602B26" w14:paraId="12EB33FE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602B26" w14:paraId="64365576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602B26" w14:paraId="137986EE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14:paraId="383A23FD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29837E5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:rsidRPr="00602B26" w14:paraId="3492E337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:rsidRPr="00602B26" w14:paraId="02238861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2833AB16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602B26">
        <w:rPr>
          <w:rFonts w:ascii="Arial Narrow" w:eastAsia="Arial Narrow" w:hAnsi="Arial Narrow" w:cs="Arial Narrow"/>
          <w:b/>
          <w:sz w:val="24"/>
          <w:szCs w:val="24"/>
        </w:rPr>
        <w:t>CRISTIANO GAIOTO</w:t>
      </w:r>
    </w:p>
    <w:p w:rsidR="0083086C" w:rsidRPr="00602B26" w14:paraId="6137272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602B26">
        <w:rPr>
          <w:rFonts w:ascii="Arial Narrow" w:eastAsia="Arial Narrow" w:hAnsi="Arial Narrow" w:cs="Arial Narrow"/>
          <w:b/>
          <w:sz w:val="24"/>
          <w:szCs w:val="24"/>
        </w:rPr>
        <w:t>Presidente da Câmara Municipal.</w:t>
      </w:r>
    </w:p>
    <w:p w:rsidR="000305FB" w:rsidRPr="00602B26" w14:paraId="1BE63B45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6A7C84B4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45FBE7E6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6BFC3BB8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468BE187" w14:textId="1726740D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602B26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 w:rsidR="002809F9" w14:paraId="7F57D03B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7D08D87C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5766016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7F50F66D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600AB945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167267B5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3E0143DA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5194C568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5365FDFF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0ACE09F7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1D60F28B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2B457F9C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243D5798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6056267A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640F025D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2EDAA724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154AE580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755315AC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 w:rsidRPr="00602B26" w:rsidP="00602B26" w14:paraId="2F4D17BA" w14:textId="77777777">
      <w:pPr>
        <w:rPr>
          <w:rFonts w:ascii="Arial Narrow" w:eastAsia="Arial Narrow" w:hAnsi="Arial Narrow" w:cs="Arial Narrow"/>
          <w:b/>
          <w:sz w:val="24"/>
          <w:szCs w:val="24"/>
        </w:rPr>
      </w:pPr>
    </w:p>
    <w:p w:rsidR="008260A9" w:rsidRPr="00602B26" w14:paraId="3B94008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:rsidRPr="00602B26" w14:paraId="37E6141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Pr="00602B26"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 w:rsidRPr="00602B26" w14:paraId="109D7B4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:rsidRPr="00602B26" w:rsidP="0024595E" w14:paraId="048FA3EC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4595E" w14:paraId="159046A4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garantir o direito de liberdade de associação previsto no art. 5º, inciso XX, da Constituição Federal, que estabelece que “ninguém poderá ser compelido a associar-se ou a permanecer associado”.</w:t>
      </w:r>
    </w:p>
    <w:p w:rsidR="002809F9" w:rsidRPr="00602B26" w:rsidP="0024595E" w14:paraId="5AF2B401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No Município de Mogi Mirim, assim como em outras localidades, moradores frequentemente enfrentam imposições de associações de bairro quanto à obrigatoriedade de pagamento de taxas ou participação em decisões, mesmo sem terem anuído formalmente a tais vínculos.</w:t>
      </w:r>
    </w:p>
    <w:p w:rsidR="002809F9" w:rsidRPr="002809F9" w:rsidP="0024595E" w14:paraId="2BF06D92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 proposta visa deixar clara a facultatividade dessa participação, garantindo aos cidadãos o direito de optar se desejam ou não contribuir financeiramente, ou fazer parte da 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estrutura administrativa da associação. O Superior Tribunal de Justiça (STJ), em diversas decisões, já firmou o entendimento de que as taxas cobradas por associações de moradores não são exigíveis dos não associados, exceto quando houver adesão expressa.</w:t>
      </w:r>
    </w:p>
    <w:p w:rsidR="002809F9" w:rsidRPr="002809F9" w:rsidP="0024595E" w14:paraId="41A84066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Além de reafirmar um direito constitucional, a medida estimula que as associações aprimorem sua gestão, aumentem a transparência e ofereçam benefícios reais e atrativos aos moradores, de modo a manter sua relevância e sustentabilidade de forma voluntária, e não compulsória.</w:t>
      </w:r>
    </w:p>
    <w:p w:rsidR="002809F9" w:rsidRPr="002809F9" w:rsidP="0024595E" w14:paraId="6EBB5208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Importante ressaltar que essa norma não visa extinguir nem enfraquecer as associações de bairro — ao contrário, busca fortalecê-las por meio da confiança, do diálogo e da adesão consciente de seus membros.</w:t>
      </w:r>
    </w:p>
    <w:p w:rsidR="002809F9" w:rsidRPr="002809F9" w:rsidP="0024595E" w14:paraId="2346F9F7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Dessa forma, entendemos ser este um passo importante para garantir a liberdade de escolha dos cidadãos, respeitar os limites da legalidade nas cobranças e estimular boas práticas de gestão associativa.</w:t>
      </w:r>
    </w:p>
    <w:p w:rsidR="008260A9" w:rsidP="0024595E" w14:paraId="74F03259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Contando com o apoio dos Nobres Pares para a aprovação desta medida, subscrevemo-nos.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4670DB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45B6B8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 w14:paraId="0DCBBF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BE46AF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E063E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B257B97" w14:textId="77777777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14:paraId="080309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 w14:paraId="77923AD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3FE740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33BB8A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305FB"/>
    <w:rsid w:val="00032043"/>
    <w:rsid w:val="00074F05"/>
    <w:rsid w:val="000B77B5"/>
    <w:rsid w:val="000C4E33"/>
    <w:rsid w:val="000E10E9"/>
    <w:rsid w:val="000E2329"/>
    <w:rsid w:val="001000DC"/>
    <w:rsid w:val="00174C0E"/>
    <w:rsid w:val="00184D4D"/>
    <w:rsid w:val="00205925"/>
    <w:rsid w:val="0024595E"/>
    <w:rsid w:val="00256126"/>
    <w:rsid w:val="002809F9"/>
    <w:rsid w:val="002E6929"/>
    <w:rsid w:val="00320260"/>
    <w:rsid w:val="003312D9"/>
    <w:rsid w:val="00361276"/>
    <w:rsid w:val="003C0BC0"/>
    <w:rsid w:val="00483368"/>
    <w:rsid w:val="00496023"/>
    <w:rsid w:val="00496DBD"/>
    <w:rsid w:val="004A0E5A"/>
    <w:rsid w:val="005829A5"/>
    <w:rsid w:val="005D395D"/>
    <w:rsid w:val="00602B26"/>
    <w:rsid w:val="006239D6"/>
    <w:rsid w:val="006256A6"/>
    <w:rsid w:val="007D7B4B"/>
    <w:rsid w:val="00811A4D"/>
    <w:rsid w:val="008260A9"/>
    <w:rsid w:val="0083086C"/>
    <w:rsid w:val="008C0DAC"/>
    <w:rsid w:val="00941E25"/>
    <w:rsid w:val="009926F1"/>
    <w:rsid w:val="00A25DA5"/>
    <w:rsid w:val="00A4633E"/>
    <w:rsid w:val="00A561FC"/>
    <w:rsid w:val="00A71902"/>
    <w:rsid w:val="00AD0F12"/>
    <w:rsid w:val="00BD5153"/>
    <w:rsid w:val="00BE7446"/>
    <w:rsid w:val="00C460DB"/>
    <w:rsid w:val="00C5556E"/>
    <w:rsid w:val="00CF1474"/>
    <w:rsid w:val="00D26629"/>
    <w:rsid w:val="00D41937"/>
    <w:rsid w:val="00D77875"/>
    <w:rsid w:val="00DE1B9B"/>
    <w:rsid w:val="00DF2919"/>
    <w:rsid w:val="00E1316B"/>
    <w:rsid w:val="00E53CC2"/>
    <w:rsid w:val="00E6661A"/>
    <w:rsid w:val="00F10812"/>
    <w:rsid w:val="00F21802"/>
    <w:rsid w:val="00F30B3B"/>
    <w:rsid w:val="00F645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2</cp:revision>
  <cp:lastPrinted>2025-08-28T19:18:31Z</cp:lastPrinted>
  <dcterms:created xsi:type="dcterms:W3CDTF">2025-08-28T18:59:00Z</dcterms:created>
  <dcterms:modified xsi:type="dcterms:W3CDTF">2025-08-28T18:59:00Z</dcterms:modified>
</cp:coreProperties>
</file>