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4427D7">
        <w:rPr>
          <w:rFonts w:asciiTheme="majorHAnsi" w:hAnsiTheme="majorHAnsi" w:cstheme="majorHAnsi"/>
          <w:b/>
          <w:color w:val="000000"/>
          <w:sz w:val="24"/>
          <w:szCs w:val="24"/>
        </w:rPr>
        <w:t xml:space="preserve"> ao Projeto de Lei Nº 61</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4427D7">
        <w:rPr>
          <w:rFonts w:asciiTheme="majorHAnsi" w:hAnsiTheme="majorHAnsi" w:cstheme="majorHAnsi"/>
          <w:b/>
          <w:color w:val="000000"/>
          <w:sz w:val="24"/>
          <w:szCs w:val="24"/>
        </w:rPr>
        <w:t>º 101</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4427D7">
        <w:rPr>
          <w:rFonts w:asciiTheme="majorHAnsi" w:hAnsiTheme="majorHAnsi" w:cstheme="majorHAnsi"/>
          <w:sz w:val="24"/>
          <w:szCs w:val="24"/>
        </w:rPr>
        <w:t xml:space="preserve">de Lei nº 61/2025, de autoria dos </w:t>
      </w:r>
      <w:r w:rsidR="002B5A45">
        <w:rPr>
          <w:rFonts w:asciiTheme="majorHAnsi" w:hAnsiTheme="majorHAnsi" w:cstheme="majorHAnsi"/>
          <w:sz w:val="24"/>
          <w:szCs w:val="24"/>
        </w:rPr>
        <w:t>Exmo</w:t>
      </w:r>
      <w:r w:rsidR="004427D7">
        <w:rPr>
          <w:rFonts w:asciiTheme="majorHAnsi" w:hAnsiTheme="majorHAnsi" w:cstheme="majorHAnsi"/>
          <w:sz w:val="24"/>
          <w:szCs w:val="24"/>
        </w:rPr>
        <w:t>s</w:t>
      </w:r>
      <w:r w:rsidRPr="00D677F3">
        <w:rPr>
          <w:rFonts w:asciiTheme="majorHAnsi" w:hAnsiTheme="majorHAnsi" w:cstheme="majorHAnsi"/>
          <w:sz w:val="24"/>
          <w:szCs w:val="24"/>
        </w:rPr>
        <w:t>. Vereador</w:t>
      </w:r>
      <w:r w:rsidR="004427D7">
        <w:rPr>
          <w:rFonts w:asciiTheme="majorHAnsi" w:hAnsiTheme="majorHAnsi" w:cstheme="majorHAnsi"/>
          <w:sz w:val="24"/>
          <w:szCs w:val="24"/>
        </w:rPr>
        <w:t xml:space="preserve">es Cristiano </w:t>
      </w:r>
      <w:r w:rsidR="004427D7">
        <w:rPr>
          <w:rFonts w:asciiTheme="majorHAnsi" w:hAnsiTheme="majorHAnsi" w:cstheme="majorHAnsi"/>
          <w:sz w:val="24"/>
          <w:szCs w:val="24"/>
        </w:rPr>
        <w:t>Gaioto</w:t>
      </w:r>
      <w:r w:rsidR="004427D7">
        <w:rPr>
          <w:rFonts w:asciiTheme="majorHAnsi" w:hAnsiTheme="majorHAnsi" w:cstheme="majorHAnsi"/>
          <w:sz w:val="24"/>
          <w:szCs w:val="24"/>
        </w:rPr>
        <w:t>,</w:t>
      </w:r>
      <w:r w:rsidR="00A52713">
        <w:rPr>
          <w:rFonts w:asciiTheme="majorHAnsi" w:hAnsiTheme="majorHAnsi" w:cstheme="majorHAnsi"/>
          <w:sz w:val="24"/>
          <w:szCs w:val="24"/>
        </w:rPr>
        <w:t xml:space="preserve"> Marcos Antônio Franco</w:t>
      </w:r>
      <w:r w:rsidR="004427D7">
        <w:rPr>
          <w:rFonts w:asciiTheme="majorHAnsi" w:hAnsiTheme="majorHAnsi" w:cstheme="majorHAnsi"/>
          <w:sz w:val="24"/>
          <w:szCs w:val="24"/>
        </w:rPr>
        <w:t xml:space="preserve"> e Willians Mendes de Oliveira</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D677F3" w:rsidRPr="00A52713" w:rsidP="00A5271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w:t>
      </w:r>
      <w:r w:rsidR="004427D7">
        <w:rPr>
          <w:rFonts w:asciiTheme="majorHAnsi" w:hAnsiTheme="majorHAnsi" w:cstheme="majorHAnsi"/>
          <w:sz w:val="24"/>
          <w:szCs w:val="24"/>
        </w:rPr>
        <w:t>Os Exmos</w:t>
      </w:r>
      <w:r w:rsidRPr="00D677F3" w:rsidR="004427D7">
        <w:rPr>
          <w:rFonts w:asciiTheme="majorHAnsi" w:hAnsiTheme="majorHAnsi" w:cstheme="majorHAnsi"/>
          <w:sz w:val="24"/>
          <w:szCs w:val="24"/>
        </w:rPr>
        <w:t>. Vereador</w:t>
      </w:r>
      <w:r w:rsidR="004427D7">
        <w:rPr>
          <w:rFonts w:asciiTheme="majorHAnsi" w:hAnsiTheme="majorHAnsi" w:cstheme="majorHAnsi"/>
          <w:sz w:val="24"/>
          <w:szCs w:val="24"/>
        </w:rPr>
        <w:t xml:space="preserve">es Cristiano </w:t>
      </w:r>
      <w:r w:rsidR="004427D7">
        <w:rPr>
          <w:rFonts w:asciiTheme="majorHAnsi" w:hAnsiTheme="majorHAnsi" w:cstheme="majorHAnsi"/>
          <w:sz w:val="24"/>
          <w:szCs w:val="24"/>
        </w:rPr>
        <w:t>Gaioto</w:t>
      </w:r>
      <w:r w:rsidR="004427D7">
        <w:rPr>
          <w:rFonts w:asciiTheme="majorHAnsi" w:hAnsiTheme="majorHAnsi" w:cstheme="majorHAnsi"/>
          <w:sz w:val="24"/>
          <w:szCs w:val="24"/>
        </w:rPr>
        <w:t>, Marcos Antônio Franco e Willians Mendes de Oliveira protocolaram</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 xml:space="preserve">a de Leis o </w:t>
      </w:r>
      <w:r w:rsidR="004427D7">
        <w:rPr>
          <w:rFonts w:asciiTheme="majorHAnsi" w:hAnsiTheme="majorHAnsi" w:cstheme="majorHAnsi"/>
          <w:sz w:val="24"/>
          <w:szCs w:val="24"/>
        </w:rPr>
        <w:t>Projeto de Lei nº 61</w:t>
      </w:r>
      <w:r>
        <w:rPr>
          <w:rFonts w:asciiTheme="majorHAnsi" w:hAnsiTheme="majorHAnsi" w:cstheme="majorHAnsi"/>
          <w:sz w:val="24"/>
          <w:szCs w:val="24"/>
        </w:rPr>
        <w:t>/2025, que</w:t>
      </w:r>
      <w:r w:rsidRPr="00A52713">
        <w:t xml:space="preserve"> </w:t>
      </w:r>
      <w:r w:rsidRPr="00A52713">
        <w:rPr>
          <w:rFonts w:asciiTheme="majorHAnsi" w:hAnsiTheme="majorHAnsi" w:cstheme="majorHAnsi"/>
          <w:b/>
          <w:i/>
          <w:sz w:val="24"/>
          <w:szCs w:val="24"/>
        </w:rPr>
        <w:t>“</w:t>
      </w:r>
      <w:r w:rsidR="004427D7">
        <w:rPr>
          <w:rFonts w:asciiTheme="majorHAnsi" w:hAnsiTheme="majorHAnsi" w:cstheme="majorHAnsi"/>
          <w:b/>
          <w:i/>
          <w:sz w:val="24"/>
          <w:szCs w:val="24"/>
        </w:rPr>
        <w:t>INSTITUI O PROGRAMA MUNICIPAL DE CAPACITAÇÃO DE CUIDADORES, E DÁ OUTRAS PROVIDÊNCIAS</w:t>
      </w:r>
      <w:r w:rsidR="00F660F1">
        <w:rPr>
          <w:rFonts w:asciiTheme="majorHAnsi" w:hAnsiTheme="majorHAnsi" w:cstheme="majorHAnsi"/>
          <w:b/>
          <w:i/>
          <w:sz w:val="24"/>
          <w:szCs w:val="24"/>
        </w:rPr>
        <w:t>”.</w:t>
      </w:r>
    </w:p>
    <w:p w:rsidR="00C56DF7" w:rsidP="00C56DF7">
      <w:pPr>
        <w:spacing w:before="100" w:beforeAutospacing="1"/>
        <w:contextualSpacing/>
        <w:jc w:val="both"/>
        <w:rPr>
          <w:rFonts w:asciiTheme="majorHAnsi" w:hAnsiTheme="majorHAnsi" w:cstheme="majorHAnsi"/>
          <w:b/>
          <w:i/>
          <w:sz w:val="24"/>
          <w:szCs w:val="24"/>
        </w:rPr>
      </w:pPr>
    </w:p>
    <w:p w:rsidR="00C2458E" w:rsidP="00CA2D46">
      <w:pPr>
        <w:spacing w:before="100" w:beforeAutospacing="1"/>
        <w:ind w:firstLine="720"/>
        <w:contextualSpacing/>
        <w:jc w:val="both"/>
        <w:rPr>
          <w:rFonts w:asciiTheme="majorHAnsi" w:hAnsiTheme="majorHAnsi" w:cstheme="majorHAnsi"/>
          <w:sz w:val="24"/>
          <w:szCs w:val="24"/>
        </w:rPr>
      </w:pPr>
      <w:r w:rsidRPr="003D250F">
        <w:rPr>
          <w:rFonts w:asciiTheme="majorHAnsi" w:hAnsiTheme="majorHAnsi" w:cstheme="majorHAnsi"/>
          <w:sz w:val="24"/>
          <w:szCs w:val="24"/>
        </w:rPr>
        <w:t xml:space="preserve">A propositura </w:t>
      </w:r>
      <w:r w:rsidR="004427D7">
        <w:rPr>
          <w:rFonts w:asciiTheme="majorHAnsi" w:hAnsiTheme="majorHAnsi" w:cstheme="majorHAnsi"/>
          <w:sz w:val="24"/>
          <w:szCs w:val="24"/>
        </w:rPr>
        <w:t>visa instituir</w:t>
      </w:r>
      <w:r w:rsidRPr="003D250F">
        <w:rPr>
          <w:rFonts w:asciiTheme="majorHAnsi" w:hAnsiTheme="majorHAnsi" w:cstheme="majorHAnsi"/>
          <w:sz w:val="24"/>
          <w:szCs w:val="24"/>
        </w:rPr>
        <w:t xml:space="preserve"> no </w:t>
      </w:r>
      <w:r w:rsidR="00CA2D46">
        <w:rPr>
          <w:rFonts w:asciiTheme="majorHAnsi" w:hAnsiTheme="majorHAnsi" w:cstheme="majorHAnsi"/>
          <w:sz w:val="24"/>
          <w:szCs w:val="24"/>
        </w:rPr>
        <w:t>município</w:t>
      </w:r>
      <w:r w:rsidRPr="00F52EC1" w:rsidR="00F52EC1">
        <w:rPr>
          <w:rFonts w:asciiTheme="majorHAnsi" w:hAnsiTheme="majorHAnsi" w:cstheme="majorHAnsi"/>
          <w:sz w:val="24"/>
          <w:szCs w:val="24"/>
        </w:rPr>
        <w:t>,</w:t>
      </w:r>
      <w:r w:rsidR="00716314">
        <w:rPr>
          <w:rFonts w:asciiTheme="majorHAnsi" w:hAnsiTheme="majorHAnsi" w:cstheme="majorHAnsi"/>
          <w:sz w:val="24"/>
          <w:szCs w:val="24"/>
        </w:rPr>
        <w:t xml:space="preserve"> o Programa Municipal de Capacitação de Cuidadores</w:t>
      </w:r>
      <w:r>
        <w:t xml:space="preserve">, </w:t>
      </w:r>
      <w:r w:rsidRPr="00C2458E">
        <w:rPr>
          <w:rFonts w:asciiTheme="majorHAnsi" w:hAnsiTheme="majorHAnsi" w:cstheme="majorHAnsi"/>
          <w:sz w:val="24"/>
          <w:szCs w:val="24"/>
        </w:rPr>
        <w:t>com o objetivo de oferecer formação e qualificação gratuita a cuidadores de crianças, idosos e pessoas com deficiência no município de Mogi Mirim.</w:t>
      </w:r>
      <w:r w:rsidRPr="00C2458E">
        <w:rPr>
          <w:rFonts w:asciiTheme="majorHAnsi" w:hAnsiTheme="majorHAnsi" w:cstheme="majorHAnsi"/>
          <w:sz w:val="24"/>
          <w:szCs w:val="24"/>
        </w:rPr>
        <w:t xml:space="preserve"> </w:t>
      </w:r>
      <w:r>
        <w:rPr>
          <w:rFonts w:asciiTheme="majorHAnsi" w:hAnsiTheme="majorHAnsi" w:cstheme="majorHAnsi"/>
          <w:sz w:val="24"/>
          <w:szCs w:val="24"/>
        </w:rPr>
        <w:t>Ademais, a Prefeitura Municipal de Mogi Mirim, ficará autorizada a desenvolver o programa por meio de parcerias ou instituições conven</w:t>
      </w:r>
      <w:r w:rsidR="00CA2D46">
        <w:rPr>
          <w:rFonts w:asciiTheme="majorHAnsi" w:hAnsiTheme="majorHAnsi" w:cstheme="majorHAnsi"/>
          <w:sz w:val="24"/>
          <w:szCs w:val="24"/>
        </w:rPr>
        <w:t>iadas, essa capacitação poderá s</w:t>
      </w:r>
      <w:r>
        <w:rPr>
          <w:rFonts w:asciiTheme="majorHAnsi" w:hAnsiTheme="majorHAnsi" w:cstheme="majorHAnsi"/>
          <w:sz w:val="24"/>
          <w:szCs w:val="24"/>
        </w:rPr>
        <w:t>er realizada de duas formas: presencial ou à distância</w:t>
      </w:r>
      <w:r w:rsidR="00CA2D46">
        <w:rPr>
          <w:rFonts w:asciiTheme="majorHAnsi" w:hAnsiTheme="majorHAnsi" w:cstheme="majorHAnsi"/>
          <w:sz w:val="24"/>
          <w:szCs w:val="24"/>
        </w:rPr>
        <w:t>,</w:t>
      </w:r>
      <w:r>
        <w:rPr>
          <w:rFonts w:asciiTheme="majorHAnsi" w:hAnsiTheme="majorHAnsi" w:cstheme="majorHAnsi"/>
          <w:sz w:val="24"/>
          <w:szCs w:val="24"/>
        </w:rPr>
        <w:t xml:space="preserve"> contendo conteúdos teóricos e práticos. Além disso, pessoas em situação de vulnerabilidade social, familiares de pessoas que precisam de cuidados domiciliares e pessoas desempregadas terão prioridade no acesso ao programa</w:t>
      </w:r>
      <w:r w:rsidR="00AE6D13">
        <w:rPr>
          <w:rFonts w:asciiTheme="majorHAnsi" w:hAnsiTheme="majorHAnsi" w:cstheme="majorHAnsi"/>
          <w:sz w:val="24"/>
          <w:szCs w:val="24"/>
        </w:rPr>
        <w:t xml:space="preserve"> e o </w:t>
      </w:r>
      <w:r>
        <w:rPr>
          <w:rFonts w:asciiTheme="majorHAnsi" w:hAnsiTheme="majorHAnsi" w:cstheme="majorHAnsi"/>
          <w:sz w:val="24"/>
          <w:szCs w:val="24"/>
        </w:rPr>
        <w:t>Poder Executivo irá emitir certificados de conclusão aos participantes do curso para facilitar sua inserção no mercado de trabalho.</w:t>
      </w:r>
    </w:p>
    <w:p w:rsidR="00C2458E" w:rsidP="00C56DF7">
      <w:pPr>
        <w:spacing w:before="100" w:beforeAutospacing="1"/>
        <w:contextualSpacing/>
        <w:jc w:val="both"/>
        <w:rPr>
          <w:rFonts w:asciiTheme="majorHAnsi" w:hAnsiTheme="majorHAnsi" w:cstheme="majorHAnsi"/>
          <w:sz w:val="24"/>
          <w:szCs w:val="24"/>
        </w:rPr>
      </w:pPr>
    </w:p>
    <w:p w:rsidR="003D250F" w:rsidRPr="00C2458E" w:rsidP="00CA2D46">
      <w:pPr>
        <w:spacing w:before="100" w:beforeAutospacing="1"/>
        <w:ind w:firstLine="720"/>
        <w:contextualSpacing/>
        <w:jc w:val="both"/>
        <w:rPr>
          <w:rFonts w:asciiTheme="majorHAnsi" w:hAnsiTheme="majorHAnsi" w:cstheme="majorHAnsi"/>
          <w:i/>
          <w:sz w:val="24"/>
          <w:szCs w:val="24"/>
        </w:rPr>
      </w:pPr>
      <w:r>
        <w:rPr>
          <w:rFonts w:asciiTheme="majorHAnsi" w:hAnsiTheme="majorHAnsi" w:cstheme="majorHAnsi"/>
          <w:sz w:val="24"/>
          <w:szCs w:val="24"/>
        </w:rPr>
        <w:t>O</w:t>
      </w:r>
      <w:r w:rsidR="004427D7">
        <w:rPr>
          <w:rFonts w:asciiTheme="majorHAnsi" w:hAnsiTheme="majorHAnsi" w:cstheme="majorHAnsi"/>
          <w:sz w:val="24"/>
          <w:szCs w:val="24"/>
        </w:rPr>
        <w:t>s</w:t>
      </w:r>
      <w:r>
        <w:rPr>
          <w:rFonts w:asciiTheme="majorHAnsi" w:hAnsiTheme="majorHAnsi" w:cstheme="majorHAnsi"/>
          <w:sz w:val="24"/>
          <w:szCs w:val="24"/>
        </w:rPr>
        <w:t xml:space="preserve"> autor</w:t>
      </w:r>
      <w:r w:rsidR="004427D7">
        <w:rPr>
          <w:rFonts w:asciiTheme="majorHAnsi" w:hAnsiTheme="majorHAnsi" w:cstheme="majorHAnsi"/>
          <w:sz w:val="24"/>
          <w:szCs w:val="24"/>
        </w:rPr>
        <w:t>es</w:t>
      </w:r>
      <w:r w:rsidRPr="003D250F">
        <w:rPr>
          <w:rFonts w:asciiTheme="majorHAnsi" w:hAnsiTheme="majorHAnsi" w:cstheme="majorHAnsi"/>
          <w:sz w:val="24"/>
          <w:szCs w:val="24"/>
        </w:rPr>
        <w:t xml:space="preserve"> argumenta</w:t>
      </w:r>
      <w:r w:rsidR="004427D7">
        <w:rPr>
          <w:rFonts w:asciiTheme="majorHAnsi" w:hAnsiTheme="majorHAnsi" w:cstheme="majorHAnsi"/>
          <w:sz w:val="24"/>
          <w:szCs w:val="24"/>
        </w:rPr>
        <w:t>m</w:t>
      </w:r>
      <w:r w:rsidRPr="003D250F">
        <w:rPr>
          <w:rFonts w:asciiTheme="majorHAnsi" w:hAnsiTheme="majorHAnsi" w:cstheme="majorHAnsi"/>
          <w:sz w:val="24"/>
          <w:szCs w:val="24"/>
        </w:rPr>
        <w:t xml:space="preserve"> que “</w:t>
      </w:r>
      <w:r w:rsidRPr="00C2458E" w:rsidR="00C2458E">
        <w:rPr>
          <w:rFonts w:asciiTheme="majorHAnsi" w:hAnsiTheme="majorHAnsi" w:cstheme="majorHAnsi"/>
          <w:i/>
          <w:sz w:val="24"/>
          <w:szCs w:val="24"/>
        </w:rPr>
        <w:t>O aumento da população idosa e a crescente demanda por cuidados às pessoas com deficiência e crianças em situação de vulnerabilidade exigem políticas públicas de qualificação profissional. Esta propositura visa qualificar e preparar profissionais, geralmente cuidadores de idosos, para atuar com responsabilidade e ética em diferentes contextos</w:t>
      </w:r>
      <w:r w:rsidR="00C2458E">
        <w:rPr>
          <w:rFonts w:asciiTheme="majorHAnsi" w:hAnsiTheme="majorHAnsi" w:cstheme="majorHAnsi"/>
          <w:i/>
          <w:sz w:val="24"/>
          <w:szCs w:val="24"/>
        </w:rPr>
        <w:t>”.</w:t>
      </w:r>
      <w:r w:rsidR="000C4A24">
        <w:rPr>
          <w:rFonts w:asciiTheme="majorHAnsi" w:hAnsiTheme="majorHAnsi" w:cstheme="majorHAnsi"/>
          <w:sz w:val="24"/>
          <w:szCs w:val="24"/>
        </w:rPr>
        <w:t xml:space="preserve"> O</w:t>
      </w:r>
      <w:r w:rsidR="00C2458E">
        <w:rPr>
          <w:rFonts w:asciiTheme="majorHAnsi" w:hAnsiTheme="majorHAnsi" w:cstheme="majorHAnsi"/>
          <w:sz w:val="24"/>
          <w:szCs w:val="24"/>
        </w:rPr>
        <w:t>s</w:t>
      </w:r>
      <w:r w:rsidR="000C4A24">
        <w:rPr>
          <w:rFonts w:asciiTheme="majorHAnsi" w:hAnsiTheme="majorHAnsi" w:cstheme="majorHAnsi"/>
          <w:sz w:val="24"/>
          <w:szCs w:val="24"/>
        </w:rPr>
        <w:t xml:space="preserve"> autor</w:t>
      </w:r>
      <w:r w:rsidR="00C2458E">
        <w:rPr>
          <w:rFonts w:asciiTheme="majorHAnsi" w:hAnsiTheme="majorHAnsi" w:cstheme="majorHAnsi"/>
          <w:sz w:val="24"/>
          <w:szCs w:val="24"/>
        </w:rPr>
        <w:t>es</w:t>
      </w:r>
      <w:r w:rsidRPr="003D250F">
        <w:rPr>
          <w:rFonts w:asciiTheme="majorHAnsi" w:hAnsiTheme="majorHAnsi" w:cstheme="majorHAnsi"/>
          <w:sz w:val="24"/>
          <w:szCs w:val="24"/>
        </w:rPr>
        <w:t xml:space="preserve"> complementa</w:t>
      </w:r>
      <w:r w:rsidR="00C2458E">
        <w:rPr>
          <w:rFonts w:asciiTheme="majorHAnsi" w:hAnsiTheme="majorHAnsi" w:cstheme="majorHAnsi"/>
          <w:sz w:val="24"/>
          <w:szCs w:val="24"/>
        </w:rPr>
        <w:t>m</w:t>
      </w:r>
      <w:r w:rsidRPr="003D250F">
        <w:rPr>
          <w:rFonts w:asciiTheme="majorHAnsi" w:hAnsiTheme="majorHAnsi" w:cstheme="majorHAnsi"/>
          <w:sz w:val="24"/>
          <w:szCs w:val="24"/>
        </w:rPr>
        <w:t xml:space="preserve"> ainda que “</w:t>
      </w:r>
      <w:r w:rsidRPr="00C2458E" w:rsidR="00C2458E">
        <w:rPr>
          <w:rFonts w:asciiTheme="majorHAnsi" w:hAnsiTheme="majorHAnsi" w:cstheme="majorHAnsi"/>
          <w:i/>
          <w:sz w:val="24"/>
          <w:szCs w:val="24"/>
        </w:rPr>
        <w:t>Esses programas são importantes para atender à crescente demanda por cuidados, especialmente com o envelhecimento da população e a busca por maior autonomia e dignidade para pessoas com necessidades especiais.</w:t>
      </w:r>
      <w:r w:rsidRPr="00C2458E">
        <w:rPr>
          <w:rFonts w:asciiTheme="majorHAnsi" w:hAnsiTheme="majorHAnsi" w:cstheme="majorHAnsi"/>
          <w:i/>
          <w:sz w:val="24"/>
          <w:szCs w:val="24"/>
        </w:rPr>
        <w:t>”.</w:t>
      </w:r>
    </w:p>
    <w:p w:rsidR="003D250F" w:rsidP="00C56DF7">
      <w:pPr>
        <w:spacing w:before="100" w:beforeAutospacing="1"/>
        <w:contextualSpacing/>
        <w:jc w:val="both"/>
        <w:rPr>
          <w:rFonts w:asciiTheme="majorHAnsi" w:hAnsiTheme="majorHAnsi" w:cstheme="majorHAnsi"/>
          <w:b/>
          <w:i/>
          <w:sz w:val="24"/>
          <w:szCs w:val="24"/>
        </w:rPr>
      </w:pPr>
    </w:p>
    <w:p w:rsidR="00CA2D46"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620B91" w:rsidP="00027D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visa </w:t>
      </w:r>
      <w:r w:rsidR="004427D7">
        <w:rPr>
          <w:rFonts w:asciiTheme="majorHAnsi" w:hAnsiTheme="majorHAnsi" w:cstheme="majorHAnsi"/>
        </w:rPr>
        <w:t>instituir o Programa Municipal de Capacitação de Cuidadores</w:t>
      </w:r>
      <w:r w:rsidR="00716314">
        <w:rPr>
          <w:rFonts w:asciiTheme="majorHAnsi" w:hAnsiTheme="majorHAnsi" w:cstheme="majorHAnsi"/>
        </w:rPr>
        <w:t xml:space="preserve"> no município de Mogi Mirim com o intuito de oferecer formação e qualificação gratuita para cuidadores de crianças, idosos e pessoas com deficiência.</w:t>
      </w:r>
    </w:p>
    <w:p w:rsidR="00716314" w:rsidP="00027D0F">
      <w:pPr>
        <w:pStyle w:val="NormalWeb"/>
        <w:spacing w:after="0" w:afterAutospacing="0"/>
        <w:ind w:firstLine="720"/>
        <w:contextualSpacing/>
        <w:jc w:val="both"/>
        <w:rPr>
          <w:rFonts w:asciiTheme="majorHAnsi" w:hAnsiTheme="majorHAnsi" w:cstheme="majorHAnsi"/>
        </w:rPr>
      </w:pPr>
    </w:p>
    <w:p w:rsidR="00B33FF5" w:rsidP="008E6358">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w:t>
      </w:r>
      <w:r w:rsidRPr="000C4A24">
        <w:rPr>
          <w:rFonts w:asciiTheme="majorHAnsi" w:hAnsiTheme="majorHAnsi" w:cstheme="majorHAnsi"/>
        </w:rPr>
        <w:t xml:space="preserve">Do ponto de vista orçamentário e financeiro, o projeto não impõe obrigações diretas ao orçamento municipal, tampouco estabelece a criação de novas despesas fixas ou permanentes. </w:t>
      </w:r>
      <w:r w:rsidR="00CA2D46">
        <w:rPr>
          <w:rFonts w:asciiTheme="majorHAnsi" w:hAnsiTheme="majorHAnsi" w:cstheme="majorHAnsi"/>
        </w:rPr>
        <w:t>Além do mais, no caso de aplicação do programa, o mesmo poderá ser executado utilizando a própria rede</w:t>
      </w:r>
      <w:r w:rsidR="00F41176">
        <w:rPr>
          <w:rFonts w:asciiTheme="majorHAnsi" w:hAnsiTheme="majorHAnsi" w:cstheme="majorHAnsi"/>
        </w:rPr>
        <w:t xml:space="preserve"> pública</w:t>
      </w:r>
      <w:bookmarkStart w:id="0" w:name="_GoBack"/>
      <w:bookmarkEnd w:id="0"/>
      <w:r w:rsidR="00CA2D46">
        <w:rPr>
          <w:rFonts w:asciiTheme="majorHAnsi" w:hAnsiTheme="majorHAnsi" w:cstheme="majorHAnsi"/>
        </w:rPr>
        <w:t xml:space="preserve"> de saúde já estruturada. </w:t>
      </w:r>
    </w:p>
    <w:p w:rsidR="00AE6D13" w:rsidRPr="000C4A24" w:rsidP="008E6358">
      <w:pPr>
        <w:pStyle w:val="NormalWeb"/>
        <w:spacing w:after="0" w:afterAutospacing="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Em contrapartida,</w:t>
      </w:r>
      <w:r w:rsidR="00C076DE">
        <w:rPr>
          <w:rFonts w:asciiTheme="majorHAnsi" w:hAnsiTheme="majorHAnsi" w:cstheme="majorHAnsi"/>
        </w:rPr>
        <w:t xml:space="preserve"> é</w:t>
      </w:r>
      <w:r w:rsidRPr="00BF47AD">
        <w:rPr>
          <w:rFonts w:asciiTheme="majorHAnsi" w:hAnsiTheme="majorHAnsi" w:cstheme="majorHAnsi"/>
        </w:rPr>
        <w:t xml:space="preserve">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4427D7">
        <w:rPr>
          <w:rFonts w:asciiTheme="majorHAnsi" w:hAnsiTheme="majorHAnsi" w:cstheme="majorHAnsi"/>
        </w:rPr>
        <w:t>do Projeto de Lei Nº 61</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02</w:t>
      </w:r>
      <w:r w:rsidR="00D41199">
        <w:rPr>
          <w:rFonts w:asciiTheme="majorHAnsi" w:hAnsiTheme="majorHAnsi" w:cstheme="majorHAnsi"/>
        </w:rPr>
        <w:t xml:space="preserve"> </w:t>
      </w:r>
      <w:r w:rsidR="00637C5F">
        <w:rPr>
          <w:rFonts w:asciiTheme="majorHAnsi" w:hAnsiTheme="majorHAnsi" w:cstheme="majorHAnsi"/>
        </w:rPr>
        <w:t xml:space="preserve">de </w:t>
      </w:r>
      <w:r w:rsidR="004427D7">
        <w:rPr>
          <w:rFonts w:asciiTheme="majorHAnsi" w:hAnsiTheme="majorHAnsi" w:cstheme="majorHAnsi"/>
        </w:rPr>
        <w:t>setembro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B33FF5" w:rsidP="004A4450">
      <w:pPr>
        <w:rPr>
          <w:rFonts w:asciiTheme="majorHAnsi" w:hAnsiTheme="majorHAnsi" w:cstheme="majorHAnsi"/>
          <w:b/>
          <w:sz w:val="24"/>
          <w:szCs w:val="24"/>
        </w:rPr>
      </w:pPr>
    </w:p>
    <w:p w:rsidR="00CA2D46">
      <w:pPr>
        <w:rPr>
          <w:rFonts w:asciiTheme="majorHAnsi" w:hAnsiTheme="majorHAnsi" w:cstheme="majorHAnsi"/>
          <w:b/>
          <w:sz w:val="24"/>
          <w:szCs w:val="24"/>
        </w:rPr>
      </w:pPr>
      <w:r>
        <w:rPr>
          <w:rFonts w:asciiTheme="majorHAnsi" w:hAnsiTheme="majorHAnsi" w:cstheme="majorHAnsi"/>
          <w:b/>
          <w:sz w:val="24"/>
          <w:szCs w:val="24"/>
        </w:rPr>
        <w:br w:type="page"/>
      </w:r>
    </w:p>
    <w:p w:rsidR="00F660F1" w:rsidP="004A4450">
      <w:pPr>
        <w:rPr>
          <w:rFonts w:asciiTheme="majorHAnsi" w:hAnsiTheme="majorHAnsi" w:cstheme="majorHAnsi"/>
          <w:b/>
          <w:sz w:val="24"/>
          <w:szCs w:val="24"/>
        </w:rPr>
      </w:pPr>
    </w:p>
    <w:p w:rsidR="00F660F1" w:rsidP="00CA2D46">
      <w:pPr>
        <w:jc w:val="center"/>
        <w:rPr>
          <w:rFonts w:asciiTheme="majorHAnsi" w:hAnsiTheme="majorHAnsi" w:cstheme="majorHAnsi"/>
          <w:b/>
          <w:sz w:val="24"/>
          <w:szCs w:val="24"/>
        </w:rPr>
      </w:pPr>
    </w:p>
    <w:p w:rsidR="006B31CF" w:rsidRPr="008E6358" w:rsidP="00CA2D46">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CA2D46">
        <w:rPr>
          <w:rFonts w:asciiTheme="majorHAnsi" w:hAnsiTheme="majorHAnsi" w:cstheme="majorHAnsi"/>
        </w:rPr>
        <w:t>02</w:t>
      </w:r>
      <w:r w:rsidR="00637C5F">
        <w:rPr>
          <w:rFonts w:asciiTheme="majorHAnsi" w:hAnsiTheme="majorHAnsi" w:cstheme="majorHAnsi"/>
        </w:rPr>
        <w:t xml:space="preserve"> de </w:t>
      </w:r>
      <w:r w:rsidR="004427D7">
        <w:rPr>
          <w:rFonts w:asciiTheme="majorHAnsi" w:hAnsiTheme="majorHAnsi" w:cstheme="majorHAnsi"/>
        </w:rPr>
        <w:t>setembro</w:t>
      </w:r>
      <w:r w:rsidRPr="00D677F3">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314">
    <w:pPr>
      <w:pBdr>
        <w:top w:val="nil"/>
        <w:left w:val="nil"/>
        <w:bottom w:val="nil"/>
        <w:right w:val="nil"/>
        <w:between w:val="nil"/>
      </w:pBdr>
      <w:tabs>
        <w:tab w:val="center" w:pos="4419"/>
        <w:tab w:val="right" w:pos="8838"/>
      </w:tabs>
      <w:jc w:val="center"/>
      <w:rPr>
        <w:b/>
        <w:bCs/>
        <w:color w:val="000000"/>
        <w:sz w:val="18"/>
        <w:szCs w:val="18"/>
      </w:rPr>
    </w:pPr>
  </w:p>
  <w:p w:rsidR="00716314">
    <w:pPr>
      <w:pBdr>
        <w:top w:val="nil"/>
        <w:left w:val="nil"/>
        <w:bottom w:val="nil"/>
        <w:right w:val="nil"/>
        <w:between w:val="nil"/>
      </w:pBdr>
      <w:tabs>
        <w:tab w:val="center" w:pos="4419"/>
        <w:tab w:val="right" w:pos="8838"/>
      </w:tabs>
      <w:jc w:val="center"/>
      <w:rPr>
        <w:b/>
        <w:bCs/>
        <w:color w:val="000000"/>
        <w:sz w:val="18"/>
        <w:szCs w:val="18"/>
      </w:rPr>
    </w:pPr>
  </w:p>
  <w:p w:rsidR="00716314"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314">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716314">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314"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716314"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716314"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C4A24"/>
    <w:rsid w:val="000F4933"/>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D1078"/>
    <w:rsid w:val="002E3052"/>
    <w:rsid w:val="002F3157"/>
    <w:rsid w:val="002F589A"/>
    <w:rsid w:val="003121C8"/>
    <w:rsid w:val="00314B47"/>
    <w:rsid w:val="003200AF"/>
    <w:rsid w:val="00322469"/>
    <w:rsid w:val="00346786"/>
    <w:rsid w:val="00371A69"/>
    <w:rsid w:val="0038129E"/>
    <w:rsid w:val="00381C00"/>
    <w:rsid w:val="003A2ADE"/>
    <w:rsid w:val="003A5737"/>
    <w:rsid w:val="003A796B"/>
    <w:rsid w:val="003B1A59"/>
    <w:rsid w:val="003C6BCB"/>
    <w:rsid w:val="003D250F"/>
    <w:rsid w:val="003D6D21"/>
    <w:rsid w:val="003E5A51"/>
    <w:rsid w:val="003E60A2"/>
    <w:rsid w:val="003F0B47"/>
    <w:rsid w:val="003F64A5"/>
    <w:rsid w:val="00405098"/>
    <w:rsid w:val="00423EBB"/>
    <w:rsid w:val="004427D7"/>
    <w:rsid w:val="00446FA1"/>
    <w:rsid w:val="004557B8"/>
    <w:rsid w:val="00456770"/>
    <w:rsid w:val="00472595"/>
    <w:rsid w:val="004755B6"/>
    <w:rsid w:val="00493896"/>
    <w:rsid w:val="004A4450"/>
    <w:rsid w:val="004B3FD2"/>
    <w:rsid w:val="004B6FDF"/>
    <w:rsid w:val="004C0017"/>
    <w:rsid w:val="004C076A"/>
    <w:rsid w:val="004D46DA"/>
    <w:rsid w:val="004E6092"/>
    <w:rsid w:val="005242B1"/>
    <w:rsid w:val="00524D00"/>
    <w:rsid w:val="00543E0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7874"/>
    <w:rsid w:val="006A54A9"/>
    <w:rsid w:val="006A762A"/>
    <w:rsid w:val="006B31CF"/>
    <w:rsid w:val="006D1946"/>
    <w:rsid w:val="006E14A1"/>
    <w:rsid w:val="006F48DD"/>
    <w:rsid w:val="007038AD"/>
    <w:rsid w:val="00716314"/>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4E63"/>
    <w:rsid w:val="00A164DC"/>
    <w:rsid w:val="00A23604"/>
    <w:rsid w:val="00A2712E"/>
    <w:rsid w:val="00A27446"/>
    <w:rsid w:val="00A52713"/>
    <w:rsid w:val="00A672C0"/>
    <w:rsid w:val="00A92E38"/>
    <w:rsid w:val="00AD2770"/>
    <w:rsid w:val="00AE4353"/>
    <w:rsid w:val="00AE5858"/>
    <w:rsid w:val="00AE6D13"/>
    <w:rsid w:val="00AF0C05"/>
    <w:rsid w:val="00AF3296"/>
    <w:rsid w:val="00AF4AC7"/>
    <w:rsid w:val="00B33FF5"/>
    <w:rsid w:val="00B45642"/>
    <w:rsid w:val="00B57090"/>
    <w:rsid w:val="00BA48C7"/>
    <w:rsid w:val="00BE2A4B"/>
    <w:rsid w:val="00BE41D6"/>
    <w:rsid w:val="00BE68FF"/>
    <w:rsid w:val="00BE6938"/>
    <w:rsid w:val="00BF2A6F"/>
    <w:rsid w:val="00BF47AD"/>
    <w:rsid w:val="00C00566"/>
    <w:rsid w:val="00C076DE"/>
    <w:rsid w:val="00C10154"/>
    <w:rsid w:val="00C2458E"/>
    <w:rsid w:val="00C3120C"/>
    <w:rsid w:val="00C31C89"/>
    <w:rsid w:val="00C56DF7"/>
    <w:rsid w:val="00C74E3F"/>
    <w:rsid w:val="00C75973"/>
    <w:rsid w:val="00CA2D46"/>
    <w:rsid w:val="00CA4349"/>
    <w:rsid w:val="00CC230E"/>
    <w:rsid w:val="00CC3E72"/>
    <w:rsid w:val="00CF288D"/>
    <w:rsid w:val="00D233F3"/>
    <w:rsid w:val="00D33D19"/>
    <w:rsid w:val="00D41199"/>
    <w:rsid w:val="00D52DAE"/>
    <w:rsid w:val="00D543E6"/>
    <w:rsid w:val="00D635A7"/>
    <w:rsid w:val="00D66197"/>
    <w:rsid w:val="00D677F3"/>
    <w:rsid w:val="00D735E2"/>
    <w:rsid w:val="00D75C8D"/>
    <w:rsid w:val="00D80A2E"/>
    <w:rsid w:val="00D81BDB"/>
    <w:rsid w:val="00D85ED2"/>
    <w:rsid w:val="00D9258F"/>
    <w:rsid w:val="00DA7AB4"/>
    <w:rsid w:val="00DC29E1"/>
    <w:rsid w:val="00DC32F0"/>
    <w:rsid w:val="00DD7EAE"/>
    <w:rsid w:val="00DE2A9A"/>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1176"/>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0591A-12AE-44B4-94E5-5B801092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3</Pages>
  <Words>724</Words>
  <Characters>3915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6</cp:revision>
  <cp:lastPrinted>2025-02-18T14:53:00Z</cp:lastPrinted>
  <dcterms:created xsi:type="dcterms:W3CDTF">2025-09-01T13:31:00Z</dcterms:created>
  <dcterms:modified xsi:type="dcterms:W3CDTF">2025-09-02T12:51:00Z</dcterms:modified>
</cp:coreProperties>
</file>