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144B13" w:rsidP="00144B13" w14:paraId="73E63545" w14:textId="77777777">
      <w:pPr>
        <w:pBdr>
          <w:top w:val="nil"/>
          <w:left w:val="nil"/>
          <w:bottom w:val="nil"/>
          <w:right w:val="nil"/>
          <w:between w:val="nil"/>
        </w:pBdr>
        <w:spacing w:line="360" w:lineRule="auto"/>
        <w:jc w:val="both"/>
        <w:rPr>
          <w:b/>
          <w:color w:val="000000"/>
          <w:sz w:val="24"/>
          <w:szCs w:val="24"/>
        </w:rPr>
      </w:pPr>
    </w:p>
    <w:p w:rsidR="00AD2770" w:rsidRPr="00144B13" w:rsidP="00144B13" w14:paraId="61969891" w14:textId="77777777">
      <w:pPr>
        <w:pBdr>
          <w:top w:val="nil"/>
          <w:left w:val="nil"/>
          <w:bottom w:val="nil"/>
          <w:right w:val="nil"/>
          <w:between w:val="nil"/>
        </w:pBdr>
        <w:spacing w:line="360" w:lineRule="auto"/>
        <w:jc w:val="both"/>
        <w:rPr>
          <w:b/>
          <w:color w:val="000000"/>
          <w:sz w:val="24"/>
          <w:szCs w:val="24"/>
        </w:rPr>
      </w:pPr>
    </w:p>
    <w:p w:rsidR="005242B1" w:rsidRPr="00144B13" w:rsidP="00144B13" w14:paraId="196BD59A" w14:textId="77777777">
      <w:pPr>
        <w:pBdr>
          <w:top w:val="nil"/>
          <w:left w:val="nil"/>
          <w:bottom w:val="nil"/>
          <w:right w:val="nil"/>
          <w:between w:val="nil"/>
        </w:pBdr>
        <w:spacing w:line="360" w:lineRule="auto"/>
        <w:jc w:val="both"/>
        <w:rPr>
          <w:b/>
          <w:color w:val="000000"/>
          <w:sz w:val="24"/>
          <w:szCs w:val="24"/>
        </w:rPr>
      </w:pPr>
    </w:p>
    <w:p w:rsidR="005242B1" w:rsidRPr="00144B13" w:rsidP="00144B13" w14:paraId="58EE40B2" w14:textId="77777777">
      <w:pPr>
        <w:pBdr>
          <w:top w:val="nil"/>
          <w:left w:val="nil"/>
          <w:bottom w:val="nil"/>
          <w:right w:val="nil"/>
          <w:between w:val="nil"/>
        </w:pBdr>
        <w:spacing w:line="360" w:lineRule="auto"/>
        <w:jc w:val="both"/>
        <w:rPr>
          <w:b/>
          <w:color w:val="000000"/>
          <w:sz w:val="24"/>
          <w:szCs w:val="24"/>
        </w:rPr>
      </w:pPr>
    </w:p>
    <w:p w:rsidR="00322469" w:rsidRPr="00144B13" w:rsidP="00144B13" w14:paraId="0380B7DA" w14:textId="361CA97F">
      <w:pPr>
        <w:pBdr>
          <w:top w:val="nil"/>
          <w:left w:val="nil"/>
          <w:bottom w:val="nil"/>
          <w:right w:val="nil"/>
          <w:between w:val="nil"/>
        </w:pBdr>
        <w:spacing w:line="360" w:lineRule="auto"/>
        <w:jc w:val="center"/>
        <w:rPr>
          <w:b/>
          <w:color w:val="000000"/>
          <w:sz w:val="24"/>
          <w:szCs w:val="24"/>
        </w:rPr>
      </w:pPr>
      <w:r w:rsidRPr="00144B13">
        <w:rPr>
          <w:b/>
          <w:color w:val="000000"/>
          <w:sz w:val="24"/>
          <w:szCs w:val="24"/>
        </w:rPr>
        <w:t>RELATÓRIO</w:t>
      </w:r>
    </w:p>
    <w:p w:rsidR="00322469" w:rsidRPr="00144B13" w:rsidP="00144B13" w14:paraId="7C19DA44" w14:textId="77777777">
      <w:pPr>
        <w:pBdr>
          <w:top w:val="nil"/>
          <w:left w:val="nil"/>
          <w:bottom w:val="nil"/>
          <w:right w:val="nil"/>
          <w:between w:val="nil"/>
        </w:pBdr>
        <w:spacing w:line="360" w:lineRule="auto"/>
        <w:jc w:val="center"/>
        <w:rPr>
          <w:b/>
          <w:sz w:val="24"/>
          <w:szCs w:val="24"/>
        </w:rPr>
      </w:pPr>
    </w:p>
    <w:p w:rsidR="0024645C" w:rsidRPr="00144B13" w:rsidP="00144B13" w14:paraId="45811A66" w14:textId="6E94A6F2">
      <w:pPr>
        <w:pStyle w:val="NormalWeb"/>
        <w:spacing w:line="360" w:lineRule="auto"/>
        <w:jc w:val="center"/>
        <w:rPr>
          <w:rStyle w:val="Strong"/>
          <w:color w:val="404040"/>
        </w:rPr>
      </w:pPr>
      <w:r w:rsidRPr="00144B13">
        <w:rPr>
          <w:rStyle w:val="Strong"/>
          <w:color w:val="404040"/>
        </w:rPr>
        <w:t xml:space="preserve">PROJETO DE LEI Nº </w:t>
      </w:r>
      <w:r w:rsidRPr="00144B13" w:rsidR="00144B13">
        <w:rPr>
          <w:rStyle w:val="Strong"/>
          <w:color w:val="404040"/>
        </w:rPr>
        <w:t>70</w:t>
      </w:r>
      <w:r w:rsidRPr="00144B13" w:rsidR="00F74441">
        <w:rPr>
          <w:rStyle w:val="Strong"/>
          <w:color w:val="404040"/>
        </w:rPr>
        <w:t xml:space="preserve"> DE 20</w:t>
      </w:r>
      <w:r w:rsidRPr="00144B13" w:rsidR="003C7058">
        <w:rPr>
          <w:rStyle w:val="Strong"/>
          <w:color w:val="404040"/>
        </w:rPr>
        <w:t>2</w:t>
      </w:r>
      <w:r w:rsidRPr="00144B13" w:rsidR="00F74441">
        <w:rPr>
          <w:rStyle w:val="Strong"/>
          <w:color w:val="404040"/>
        </w:rPr>
        <w:t>5</w:t>
      </w:r>
    </w:p>
    <w:p w:rsidR="00144B13" w:rsidRPr="00144B13" w:rsidP="00144B13" w14:paraId="55F0E13C" w14:textId="3AA1901D">
      <w:pPr>
        <w:pStyle w:val="NormalWeb"/>
        <w:spacing w:line="360" w:lineRule="auto"/>
        <w:jc w:val="both"/>
        <w:rPr>
          <w:rStyle w:val="Emphasis"/>
          <w:color w:val="404040"/>
        </w:rPr>
      </w:pPr>
      <w:r w:rsidRPr="00144B13">
        <w:rPr>
          <w:rStyle w:val="Emphasis"/>
          <w:color w:val="404040"/>
        </w:rPr>
        <w:t xml:space="preserve">Fica considerada a nomenclatura da Banda Lyra </w:t>
      </w:r>
      <w:r w:rsidRPr="00144B13">
        <w:rPr>
          <w:rStyle w:val="Emphasis"/>
          <w:color w:val="404040"/>
        </w:rPr>
        <w:t>Mogimiri</w:t>
      </w:r>
      <w:bookmarkStart w:id="0" w:name="_GoBack"/>
      <w:bookmarkEnd w:id="0"/>
      <w:r w:rsidRPr="00144B13">
        <w:rPr>
          <w:rStyle w:val="Emphasis"/>
          <w:color w:val="404040"/>
        </w:rPr>
        <w:t>ana</w:t>
      </w:r>
      <w:r w:rsidRPr="00144B13">
        <w:rPr>
          <w:rStyle w:val="Emphasis"/>
          <w:color w:val="404040"/>
        </w:rPr>
        <w:t xml:space="preserve"> patrimônio histórico e cultural, de natureza imaterial do município de </w:t>
      </w:r>
      <w:r w:rsidRPr="00144B13" w:rsidR="00525DC3">
        <w:rPr>
          <w:rStyle w:val="Emphasis"/>
          <w:color w:val="404040"/>
        </w:rPr>
        <w:t>Mogi Mirim.</w:t>
      </w:r>
    </w:p>
    <w:p w:rsidR="00F74441" w:rsidRPr="00144B13" w:rsidP="00144B13" w14:paraId="1D42C3C2" w14:textId="14FD9BD5">
      <w:pPr>
        <w:pStyle w:val="NormalWeb"/>
        <w:spacing w:line="360" w:lineRule="auto"/>
        <w:jc w:val="both"/>
        <w:rPr>
          <w:color w:val="404040"/>
        </w:rPr>
      </w:pPr>
      <w:r w:rsidRPr="00144B13">
        <w:rPr>
          <w:rStyle w:val="Strong"/>
          <w:color w:val="404040"/>
        </w:rPr>
        <w:t>RELATOR: VEREADOR JOÃO VICTOR GASPARINI</w:t>
      </w:r>
    </w:p>
    <w:p w:rsidR="00F74441" w:rsidRPr="00144B13" w:rsidP="00144B13" w14:paraId="255CBB13" w14:textId="77777777">
      <w:pPr>
        <w:spacing w:line="360" w:lineRule="auto"/>
        <w:jc w:val="both"/>
        <w:rPr>
          <w:sz w:val="24"/>
          <w:szCs w:val="24"/>
        </w:rPr>
      </w:pPr>
      <w:r>
        <w:rPr>
          <w:sz w:val="24"/>
          <w:szCs w:val="24"/>
        </w:rPr>
        <w:pict>
          <v:rect id="_x0000_i1025" style="width:0;height:0.75pt" o:hralign="center" o:hrstd="t" o:hrnoshade="t" o:hr="t" fillcolor="#404040" stroked="f"/>
        </w:pict>
      </w:r>
    </w:p>
    <w:p w:rsidR="00F74441" w:rsidRPr="00144B13" w:rsidP="00144B13" w14:paraId="71819A52" w14:textId="77777777">
      <w:pPr>
        <w:pStyle w:val="Heading3"/>
        <w:spacing w:line="360" w:lineRule="auto"/>
        <w:jc w:val="both"/>
        <w:rPr>
          <w:color w:val="404040"/>
          <w:sz w:val="24"/>
          <w:szCs w:val="24"/>
        </w:rPr>
      </w:pPr>
      <w:r w:rsidRPr="00144B13">
        <w:rPr>
          <w:rStyle w:val="Strong"/>
          <w:b/>
          <w:bCs w:val="0"/>
          <w:color w:val="404040"/>
          <w:sz w:val="24"/>
          <w:szCs w:val="24"/>
        </w:rPr>
        <w:t>I - EXPOSIÇÃO DA MATÉRIA EM EXAME</w:t>
      </w:r>
    </w:p>
    <w:p w:rsidR="00144B13" w:rsidRPr="00144B13" w:rsidP="00144B13" w14:paraId="57CFD74D" w14:textId="77777777">
      <w:pPr>
        <w:pStyle w:val="NormalWeb"/>
        <w:spacing w:line="360" w:lineRule="auto"/>
        <w:jc w:val="both"/>
      </w:pPr>
      <w:r w:rsidRPr="00144B13">
        <w:rPr>
          <w:color w:val="404040"/>
        </w:rPr>
        <w:tab/>
      </w:r>
      <w:r w:rsidRPr="00144B13">
        <w:t xml:space="preserve">Trata-se da análise do Projeto de Lei nº 70/2025, de iniciativa do Vereador Professor </w:t>
      </w:r>
      <w:r w:rsidRPr="00144B13">
        <w:t>Cinoê</w:t>
      </w:r>
      <w:r w:rsidRPr="00144B13">
        <w:t xml:space="preserve"> </w:t>
      </w:r>
      <w:r w:rsidRPr="00144B13">
        <w:t>Duzo</w:t>
      </w:r>
      <w:r w:rsidRPr="00144B13">
        <w:t xml:space="preserve"> (PP), que dispõe: “fica considerada a nomenclatura da Banda Lyra </w:t>
      </w:r>
      <w:r w:rsidRPr="00144B13">
        <w:t>Mogimiriana</w:t>
      </w:r>
      <w:r w:rsidRPr="00144B13">
        <w:t xml:space="preserve"> Patrimônio Histórico e Cultural, de natureza imaterial do município de Mogi Mirim” (MOGI MIRIM, 2025a).</w:t>
      </w:r>
    </w:p>
    <w:p w:rsidR="00144B13" w:rsidRPr="00144B13" w:rsidP="00144B13" w14:paraId="5B837E70" w14:textId="356EB227">
      <w:pPr>
        <w:pStyle w:val="NormalWeb"/>
        <w:spacing w:line="360" w:lineRule="auto"/>
        <w:jc w:val="both"/>
      </w:pPr>
      <w:r>
        <w:tab/>
      </w:r>
      <w:r w:rsidRPr="00144B13">
        <w:t xml:space="preserve">O art. 1º do projeto confere reconhecimento cultural à Banda Lyra </w:t>
      </w:r>
      <w:r w:rsidRPr="00144B13">
        <w:t>Mogimiriana</w:t>
      </w:r>
      <w:r w:rsidRPr="00144B13">
        <w:t>, e o art. 2º dispõe que a lei entra em vigor na data de sua publicação oficial, revogadas disposições em contrário (MOGI MIRIM, 2025a).</w:t>
      </w:r>
    </w:p>
    <w:p w:rsidR="00144B13" w:rsidRPr="00144B13" w:rsidP="00144B13" w14:paraId="5E9663E1" w14:textId="72B53F4F">
      <w:pPr>
        <w:pStyle w:val="NormalWeb"/>
        <w:spacing w:line="360" w:lineRule="auto"/>
        <w:jc w:val="both"/>
      </w:pPr>
      <w:r>
        <w:tab/>
      </w:r>
      <w:r w:rsidRPr="00144B13">
        <w:t xml:space="preserve">A Justificativa legislativa relembra a trajetória da Banda Lyra </w:t>
      </w:r>
      <w:r w:rsidRPr="00144B13">
        <w:t>Mogimiriana</w:t>
      </w:r>
      <w:r w:rsidRPr="00144B13">
        <w:t>, fundada em 10 de agosto de 1985 por Carlos Alberto Rodrigues de Lima, com apoio de diversos colaboradores locais. Sua primeira apresentação ocorreu em 22 de outubro de 1985, no desfile comemorativo ao aniversário da cidade. Atualmente, a entidade cultural atende cerca de 1.200 alunos gratuitamente em cursos de música, promove desde 2012 o Festival de Inverno de Mogi Mirim (FESTIMM), reconhecido por leis municipal e estadual, e já levou o nome do município a eventos internacionais, como a participação em Berlim em 2019. Em 2025, realiza a turnê “Tons do Brasil”, reafirmando seu papel na difusão da cultura e na formação cidadã (MOGI MIRIM, 2025a).</w:t>
      </w:r>
    </w:p>
    <w:p w:rsidR="00144B13" w:rsidRPr="00144B13" w:rsidP="00144B13" w14:paraId="4A829CBC" w14:textId="2E4A9BEE">
      <w:pPr>
        <w:pStyle w:val="NormalWeb"/>
        <w:spacing w:line="360" w:lineRule="auto"/>
        <w:jc w:val="both"/>
      </w:pPr>
      <w:r>
        <w:tab/>
      </w:r>
      <w:r w:rsidRPr="00144B13">
        <w:t xml:space="preserve">O parecer jurídico da SGP – Soluções em Gestão Pública (Consulta nº 0371/2025) destacou que a proposição guarda compatibilidade com a Constituição Federal. O art. 30, incisos I e IX, da CF, confere aos municípios competência para legislar sobre interesse local e proteger o patrimônio histórico-cultural local (BRASIL, 1988). Além disso, os </w:t>
      </w:r>
      <w:r w:rsidRPr="00144B13">
        <w:t>arts</w:t>
      </w:r>
      <w:r w:rsidRPr="00144B13">
        <w:t>. 215 e 216 asseguram a proteção e a promoção das manifestações culturais, materiais e imateriais, cabendo ao Poder Público, em colaboração com a comunidade, promover o patrimônio cultural brasileiro (BRASIL, 1988).</w:t>
      </w:r>
    </w:p>
    <w:p w:rsidR="00144B13" w:rsidRPr="00144B13" w:rsidP="00144B13" w14:paraId="0FC3A4A7" w14:textId="7F4CD864">
      <w:pPr>
        <w:pStyle w:val="NormalWeb"/>
        <w:spacing w:line="360" w:lineRule="auto"/>
        <w:jc w:val="both"/>
      </w:pPr>
      <w:r>
        <w:tab/>
      </w:r>
      <w:r w:rsidRPr="00144B13">
        <w:t xml:space="preserve">A consultoria cita Nelson Nery Júnior, segundo o qual os interesses locais configuram campo natural da competência municipal, prevalecendo sobre interesses da União ou dos Estados sempre que a predominância for do município (NERY JÚNIOR, 2009, p. 633-634). Ressalta também a doutrina de </w:t>
      </w:r>
      <w:r w:rsidRPr="00144B13">
        <w:t>Fiorillo</w:t>
      </w:r>
      <w:r w:rsidRPr="00144B13">
        <w:t xml:space="preserve"> e Ferreira, para quem bens de natureza imaterial têm proteção assegurada constitucionalmente por representarem identidade, memória e formas de expressão dos grupos sociais (FIORILLO; FERREIRA, 2018, p. 134).</w:t>
      </w:r>
    </w:p>
    <w:p w:rsidR="00144B13" w:rsidRPr="00144B13" w:rsidP="00144B13" w14:paraId="5F9051AA" w14:textId="421679DA">
      <w:pPr>
        <w:pStyle w:val="NormalWeb"/>
        <w:spacing w:line="360" w:lineRule="auto"/>
        <w:jc w:val="both"/>
      </w:pPr>
      <w:r>
        <w:tab/>
      </w:r>
      <w:r w:rsidRPr="00144B13">
        <w:t>Do ponto de vista da iniciativa legislativa, a proposição enquadra-se na regra da iniciativa concorrente (BRASIL, 1988, art. 61, caput), não havendo reserva ao Poder Executivo. A doutrina de Medina (2019, p. 433) e de Paulo e Alexandrino (2020, p. 547) confirma que qualquer parlamentar pode deflagrar o processo legislativo em matérias que não sejam privativas do Executivo. O Tribunal de Justiça de São Paulo, em precedentes relativos à declaração de bens como patrimônio cultural, consolidou que leis municipais de iniciativa parlamentar são constitucionais quando tratam de patrimônio imaterial local (TJSP, ADI nº 2261493-96.2019.8.26.0000; TJSP, ADI nº 2199673-47.2017.8.26.0000).</w:t>
      </w:r>
    </w:p>
    <w:p w:rsidR="00F74441" w:rsidRPr="00144B13" w:rsidP="00144B13" w14:paraId="452BB01C" w14:textId="4B2B5104">
      <w:pPr>
        <w:pStyle w:val="NormalWeb"/>
        <w:spacing w:line="360" w:lineRule="auto"/>
        <w:jc w:val="both"/>
      </w:pPr>
      <w:r>
        <w:pict>
          <v:rect id="_x0000_i1026" style="width:0;height:0.75pt" o:hralign="center" o:hrstd="t" o:hrnoshade="t" o:hr="t" fillcolor="#404040" stroked="f"/>
        </w:pict>
      </w:r>
    </w:p>
    <w:p w:rsidR="00F74441" w:rsidRPr="00144B13" w:rsidP="00144B13" w14:paraId="380FED2D" w14:textId="77777777">
      <w:pPr>
        <w:pStyle w:val="Heading3"/>
        <w:spacing w:line="360" w:lineRule="auto"/>
        <w:jc w:val="both"/>
        <w:rPr>
          <w:rStyle w:val="Strong"/>
          <w:b/>
          <w:bCs w:val="0"/>
          <w:color w:val="404040"/>
          <w:sz w:val="24"/>
          <w:szCs w:val="24"/>
        </w:rPr>
      </w:pPr>
      <w:r w:rsidRPr="00144B13">
        <w:rPr>
          <w:rStyle w:val="Strong"/>
          <w:b/>
          <w:bCs w:val="0"/>
          <w:color w:val="404040"/>
          <w:sz w:val="24"/>
          <w:szCs w:val="24"/>
        </w:rPr>
        <w:t>II - CONCLUSÕES DO RELATOR</w:t>
      </w:r>
    </w:p>
    <w:p w:rsidR="00144B13" w:rsidRPr="00144B13" w:rsidP="00144B13" w14:paraId="64F5B206" w14:textId="77777777">
      <w:pPr>
        <w:pStyle w:val="NormalWeb"/>
        <w:spacing w:line="360" w:lineRule="auto"/>
        <w:jc w:val="both"/>
      </w:pPr>
      <w:r w:rsidRPr="00144B13">
        <w:tab/>
      </w:r>
      <w:r w:rsidRPr="00144B13">
        <w:t>A análise do Projeto de Lei nº 70/2025 permite concluir:</w:t>
      </w:r>
    </w:p>
    <w:p w:rsidR="00144B13" w:rsidRPr="00144B13" w:rsidP="00144B13" w14:paraId="40BB7542" w14:textId="77777777">
      <w:pPr>
        <w:pStyle w:val="NormalWeb"/>
        <w:numPr>
          <w:ilvl w:val="0"/>
          <w:numId w:val="33"/>
        </w:numPr>
        <w:spacing w:line="360" w:lineRule="auto"/>
        <w:jc w:val="both"/>
      </w:pPr>
      <w:r w:rsidRPr="00144B13">
        <w:rPr>
          <w:rStyle w:val="Strong"/>
        </w:rPr>
        <w:t>Competência legislativa</w:t>
      </w:r>
      <w:r w:rsidRPr="00144B13">
        <w:t xml:space="preserve"> – O projeto versa sobre matéria de interesse local e proteção do patrimônio histórico-cultural, inserindo-se na competência municipal (BRASIL, 1988, art. 30, I e IX).</w:t>
      </w:r>
    </w:p>
    <w:p w:rsidR="00144B13" w:rsidRPr="00144B13" w:rsidP="00144B13" w14:paraId="728E4016" w14:textId="77777777">
      <w:pPr>
        <w:pStyle w:val="NormalWeb"/>
        <w:numPr>
          <w:ilvl w:val="0"/>
          <w:numId w:val="33"/>
        </w:numPr>
        <w:spacing w:line="360" w:lineRule="auto"/>
        <w:jc w:val="both"/>
      </w:pPr>
      <w:r w:rsidRPr="00144B13">
        <w:rPr>
          <w:rStyle w:val="Strong"/>
        </w:rPr>
        <w:t>Iniciativa legislativa</w:t>
      </w:r>
      <w:r w:rsidRPr="00144B13">
        <w:t xml:space="preserve"> – A proposição é de iniciativa concorrente, cabendo a parlamentares apresentar projetos nessa temática (MEDINA, 2019, p. 433; PAULO; ALEXANDRINO, 2020, p. 547).</w:t>
      </w:r>
    </w:p>
    <w:p w:rsidR="00144B13" w:rsidRPr="00144B13" w:rsidP="00144B13" w14:paraId="563D8766" w14:textId="77777777">
      <w:pPr>
        <w:pStyle w:val="NormalWeb"/>
        <w:numPr>
          <w:ilvl w:val="0"/>
          <w:numId w:val="33"/>
        </w:numPr>
        <w:spacing w:line="360" w:lineRule="auto"/>
        <w:jc w:val="both"/>
      </w:pPr>
      <w:r w:rsidRPr="00144B13">
        <w:rPr>
          <w:rStyle w:val="Strong"/>
        </w:rPr>
        <w:t>Constitucionalidade material</w:t>
      </w:r>
      <w:r w:rsidRPr="00144B13">
        <w:t xml:space="preserve"> – O reconhecimento da Banda Lyra </w:t>
      </w:r>
      <w:r w:rsidRPr="00144B13">
        <w:t>Mogimiriana</w:t>
      </w:r>
      <w:r w:rsidRPr="00144B13">
        <w:t xml:space="preserve"> como patrimônio histórico-cultural imaterial está em conformidade com os </w:t>
      </w:r>
      <w:r w:rsidRPr="00144B13">
        <w:t>arts</w:t>
      </w:r>
      <w:r w:rsidRPr="00144B13">
        <w:t>. 215 e 216 da CF, que determinam a proteção de bens culturais de natureza imaterial (BRASIL, 1988).</w:t>
      </w:r>
    </w:p>
    <w:p w:rsidR="00144B13" w:rsidRPr="00144B13" w:rsidP="00144B13" w14:paraId="11803431" w14:textId="77777777">
      <w:pPr>
        <w:pStyle w:val="NormalWeb"/>
        <w:numPr>
          <w:ilvl w:val="0"/>
          <w:numId w:val="33"/>
        </w:numPr>
        <w:spacing w:line="360" w:lineRule="auto"/>
        <w:jc w:val="both"/>
      </w:pPr>
      <w:r w:rsidRPr="00144B13">
        <w:rPr>
          <w:rStyle w:val="Strong"/>
        </w:rPr>
        <w:t>Relevância cultural</w:t>
      </w:r>
      <w:r w:rsidRPr="00144B13">
        <w:t xml:space="preserve"> – A Banda Lyra </w:t>
      </w:r>
      <w:r w:rsidRPr="00144B13">
        <w:t>Mogimiriana</w:t>
      </w:r>
      <w:r w:rsidRPr="00144B13">
        <w:t xml:space="preserve"> é instituição de quase quatro décadas, com impacto social, educativo e cultural reconhecido em âmbito municipal, estadual e internacional (MOGI MIRIM, 2025a).</w:t>
      </w:r>
    </w:p>
    <w:p w:rsidR="00144B13" w:rsidRPr="00144B13" w:rsidP="00144B13" w14:paraId="7E5EF0FF" w14:textId="734D6E0B">
      <w:pPr>
        <w:pStyle w:val="NormalWeb"/>
        <w:spacing w:line="360" w:lineRule="auto"/>
        <w:jc w:val="both"/>
      </w:pPr>
      <w:r>
        <w:tab/>
      </w:r>
      <w:r w:rsidRPr="00144B13">
        <w:t>Assim, não se identificam vícios de constitucionalidade, juridicidade ou de iniciativa que impeçam a regular tramitação da matéria.</w:t>
      </w:r>
    </w:p>
    <w:p w:rsidR="00F74441" w:rsidRPr="00144B13" w:rsidP="00144B13" w14:paraId="38BA90DC" w14:textId="4EC81AED">
      <w:pPr>
        <w:pStyle w:val="NormalWeb"/>
        <w:spacing w:line="360" w:lineRule="auto"/>
        <w:jc w:val="both"/>
      </w:pPr>
      <w:r>
        <w:pict>
          <v:rect id="_x0000_i1027" style="width:0;height:0.75pt" o:hralign="center" o:hrstd="t" o:hrnoshade="t" o:hr="t" fillcolor="#404040" stroked="f"/>
        </w:pict>
      </w:r>
    </w:p>
    <w:p w:rsidR="00F74441" w:rsidRPr="00144B13" w:rsidP="00144B13" w14:paraId="68542A3A" w14:textId="77777777">
      <w:pPr>
        <w:pStyle w:val="Heading3"/>
        <w:spacing w:line="360" w:lineRule="auto"/>
        <w:jc w:val="both"/>
        <w:rPr>
          <w:color w:val="404040"/>
          <w:sz w:val="24"/>
          <w:szCs w:val="24"/>
        </w:rPr>
      </w:pPr>
      <w:r w:rsidRPr="00144B13">
        <w:rPr>
          <w:rStyle w:val="Strong"/>
          <w:b/>
          <w:bCs w:val="0"/>
          <w:color w:val="404040"/>
          <w:sz w:val="24"/>
          <w:szCs w:val="24"/>
        </w:rPr>
        <w:t>III - OFERECIMENTO DE SUBSTITUTIVO, EMENDAS OU SUBEMENDAS</w:t>
      </w:r>
    </w:p>
    <w:p w:rsidR="00C926D0" w:rsidRPr="00144B13" w:rsidP="00144B13" w14:paraId="7E128F18" w14:textId="5E76D495">
      <w:pPr>
        <w:pStyle w:val="NormalWeb"/>
        <w:spacing w:line="360" w:lineRule="auto"/>
        <w:jc w:val="both"/>
      </w:pPr>
      <w:r w:rsidRPr="00144B13">
        <w:tab/>
      </w:r>
      <w:r w:rsidRPr="00144B13" w:rsidR="00144B13">
        <w:t xml:space="preserve">No âmbito desta Relatoria, </w:t>
      </w:r>
      <w:r w:rsidRPr="00144B13" w:rsidR="00144B13">
        <w:rPr>
          <w:rStyle w:val="Strong"/>
        </w:rPr>
        <w:t>não se verifica a necessidade de apresentação de substitutivo, emenda ou subemenda</w:t>
      </w:r>
      <w:r w:rsidRPr="00144B13" w:rsidR="00144B13">
        <w:t>, haja vista a adequação formal e material do texto</w:t>
      </w:r>
      <w:r w:rsidR="00144B13">
        <w:t>.</w:t>
      </w:r>
    </w:p>
    <w:p w:rsidR="00F74441" w:rsidRPr="00144B13" w:rsidP="00144B13" w14:paraId="0344C6BF" w14:textId="183D14C7">
      <w:pPr>
        <w:pStyle w:val="NormalWeb"/>
        <w:spacing w:line="360" w:lineRule="auto"/>
        <w:jc w:val="both"/>
      </w:pPr>
      <w:r>
        <w:pict>
          <v:rect id="_x0000_i1028" style="width:0;height:0.75pt" o:hralign="center" o:hrstd="t" o:hrnoshade="t" o:hr="t" fillcolor="#404040" stroked="f"/>
        </w:pict>
      </w:r>
    </w:p>
    <w:p w:rsidR="00F74441" w:rsidRPr="00144B13" w:rsidP="00144B13" w14:paraId="0089363A" w14:textId="77777777">
      <w:pPr>
        <w:pStyle w:val="Heading3"/>
        <w:spacing w:line="360" w:lineRule="auto"/>
        <w:jc w:val="both"/>
        <w:rPr>
          <w:rStyle w:val="Strong"/>
          <w:b/>
          <w:bCs w:val="0"/>
          <w:color w:val="404040"/>
          <w:sz w:val="24"/>
          <w:szCs w:val="24"/>
        </w:rPr>
      </w:pPr>
      <w:r w:rsidRPr="00144B13">
        <w:rPr>
          <w:rStyle w:val="Strong"/>
          <w:b/>
          <w:bCs w:val="0"/>
          <w:color w:val="404040"/>
          <w:sz w:val="24"/>
          <w:szCs w:val="24"/>
        </w:rPr>
        <w:t>IV - DECISÃO DA COMISSÃO</w:t>
      </w:r>
    </w:p>
    <w:p w:rsidR="00144B13" w:rsidRPr="00144B13" w:rsidP="00144B13" w14:paraId="7C747FEC" w14:textId="77777777">
      <w:pPr>
        <w:pStyle w:val="NormalWeb"/>
        <w:spacing w:line="360" w:lineRule="auto"/>
        <w:jc w:val="both"/>
      </w:pPr>
      <w:r w:rsidRPr="00144B13">
        <w:rPr>
          <w:color w:val="404040"/>
        </w:rPr>
        <w:tab/>
      </w:r>
      <w:r w:rsidRPr="00144B13">
        <w:t xml:space="preserve">À vista do exposto, a Comissão de Justiça e Redação, no uso de suas atribuições regimentais (MOGI MIRIM, 2010, art. 35), </w:t>
      </w:r>
      <w:r w:rsidRPr="00144B13">
        <w:rPr>
          <w:rStyle w:val="Strong"/>
        </w:rPr>
        <w:t>opina pela aprovação do Projeto de Lei nº 70/2025</w:t>
      </w:r>
      <w:r w:rsidRPr="00144B13">
        <w:t>, por entender que a proposição:</w:t>
      </w:r>
    </w:p>
    <w:p w:rsidR="00144B13" w:rsidP="00144B13" w14:paraId="4457A7A9" w14:textId="77777777">
      <w:pPr>
        <w:pStyle w:val="NormalWeb"/>
        <w:spacing w:line="360" w:lineRule="auto"/>
        <w:jc w:val="both"/>
      </w:pPr>
      <w:r w:rsidRPr="00144B13">
        <w:t xml:space="preserve">a) encontra respaldo na Constituição Federal (BRASIL, 1988, </w:t>
      </w:r>
      <w:r w:rsidRPr="00144B13">
        <w:t>arts</w:t>
      </w:r>
      <w:r w:rsidRPr="00144B13">
        <w:t>. 30, I e IX; 215 e 216);</w:t>
      </w:r>
    </w:p>
    <w:p w:rsidR="00144B13" w:rsidP="00144B13" w14:paraId="5B1540A1" w14:textId="77777777">
      <w:pPr>
        <w:pStyle w:val="NormalWeb"/>
        <w:spacing w:line="360" w:lineRule="auto"/>
        <w:jc w:val="both"/>
      </w:pPr>
      <w:r w:rsidRPr="00144B13">
        <w:t>b) insere-se na esfera da competência legislativa municipal, de iniciativa concorrente;</w:t>
      </w:r>
    </w:p>
    <w:p w:rsidR="00144B13" w:rsidP="00144B13" w14:paraId="124ABB11" w14:textId="77777777">
      <w:pPr>
        <w:pStyle w:val="NormalWeb"/>
        <w:spacing w:line="360" w:lineRule="auto"/>
        <w:jc w:val="both"/>
      </w:pPr>
      <w:r w:rsidRPr="00144B13">
        <w:t>c) não apresenta vícios de constitucionalidade ou juridicidade;</w:t>
      </w:r>
    </w:p>
    <w:p w:rsidR="00144B13" w:rsidRPr="00144B13" w:rsidP="00144B13" w14:paraId="1C5C83F0" w14:textId="57F73DA3">
      <w:pPr>
        <w:pStyle w:val="NormalWeb"/>
        <w:spacing w:line="360" w:lineRule="auto"/>
        <w:jc w:val="both"/>
      </w:pPr>
      <w:r w:rsidRPr="00144B13">
        <w:t>d) possui relevância social e cultural inegável para o município de Mogi Mirim.</w:t>
      </w:r>
    </w:p>
    <w:p w:rsidR="00F74441" w:rsidRPr="00144B13" w:rsidP="00144B13" w14:paraId="214FFDEB" w14:textId="7EFE4A47">
      <w:pPr>
        <w:pStyle w:val="NormalWeb"/>
        <w:spacing w:line="360" w:lineRule="auto"/>
        <w:jc w:val="both"/>
      </w:pPr>
      <w:r>
        <w:pict>
          <v:rect id="_x0000_i1029" style="width:0;height:0.75pt" o:hralign="center" o:hrstd="t" o:hrnoshade="t" o:hr="t" fillcolor="#404040" stroked="f"/>
        </w:pict>
      </w:r>
    </w:p>
    <w:p w:rsidR="00F74441" w:rsidRPr="00144B13" w:rsidP="00144B13" w14:paraId="14CCE9EB" w14:textId="77777777">
      <w:pPr>
        <w:pStyle w:val="NormalWeb"/>
        <w:spacing w:line="360" w:lineRule="auto"/>
        <w:jc w:val="both"/>
        <w:rPr>
          <w:color w:val="404040"/>
        </w:rPr>
      </w:pPr>
      <w:r w:rsidRPr="00144B13">
        <w:rPr>
          <w:rStyle w:val="Strong"/>
          <w:color w:val="404040"/>
        </w:rPr>
        <w:t>Assinam os membros da Comissão de Justiça e Redação que votaram a favor:</w:t>
      </w:r>
    </w:p>
    <w:p w:rsidR="00F74441" w:rsidRPr="00144B13" w:rsidP="00144B13" w14:paraId="1436876C" w14:textId="767E72E4">
      <w:pPr>
        <w:pStyle w:val="NormalWeb"/>
        <w:numPr>
          <w:ilvl w:val="0"/>
          <w:numId w:val="13"/>
        </w:numPr>
        <w:spacing w:before="0" w:beforeAutospacing="0" w:line="360" w:lineRule="auto"/>
        <w:jc w:val="both"/>
        <w:rPr>
          <w:color w:val="404040"/>
        </w:rPr>
      </w:pPr>
      <w:r w:rsidRPr="00144B13">
        <w:rPr>
          <w:color w:val="404040"/>
        </w:rPr>
        <w:t>Vereador João Victor Gasparini (</w:t>
      </w:r>
      <w:r w:rsidRPr="00144B13" w:rsidR="003B1A59">
        <w:rPr>
          <w:color w:val="404040"/>
        </w:rPr>
        <w:t xml:space="preserve">Membro/ </w:t>
      </w:r>
      <w:r w:rsidRPr="00144B13">
        <w:rPr>
          <w:color w:val="404040"/>
        </w:rPr>
        <w:t>Relator)</w:t>
      </w:r>
    </w:p>
    <w:p w:rsidR="00F74441" w:rsidRPr="00144B13" w:rsidP="00144B13" w14:paraId="0AF5E80E" w14:textId="279D525E">
      <w:pPr>
        <w:pStyle w:val="NormalWeb"/>
        <w:numPr>
          <w:ilvl w:val="0"/>
          <w:numId w:val="13"/>
        </w:numPr>
        <w:spacing w:before="0" w:beforeAutospacing="0" w:line="360" w:lineRule="auto"/>
        <w:jc w:val="both"/>
        <w:rPr>
          <w:color w:val="404040"/>
        </w:rPr>
      </w:pPr>
      <w:r w:rsidRPr="00144B13">
        <w:rPr>
          <w:color w:val="404040"/>
        </w:rPr>
        <w:t xml:space="preserve">Vereador </w:t>
      </w:r>
      <w:r w:rsidRPr="00144B13" w:rsidR="003B1A59">
        <w:rPr>
          <w:color w:val="404040"/>
        </w:rPr>
        <w:t>Wagner Ricardo Pereira (Presidente)</w:t>
      </w:r>
    </w:p>
    <w:p w:rsidR="00F74441" w:rsidRPr="00144B13" w:rsidP="00144B13" w14:paraId="64715406" w14:textId="7AA5E3FF">
      <w:pPr>
        <w:pStyle w:val="NormalWeb"/>
        <w:numPr>
          <w:ilvl w:val="0"/>
          <w:numId w:val="13"/>
        </w:numPr>
        <w:spacing w:before="0" w:beforeAutospacing="0" w:line="360" w:lineRule="auto"/>
        <w:jc w:val="both"/>
      </w:pPr>
      <w:r w:rsidRPr="00144B13">
        <w:rPr>
          <w:color w:val="404040"/>
        </w:rPr>
        <w:t>Vereador Manoel Eduardo Pereira da Cruz Palomino (Vice-Presidente)</w:t>
      </w:r>
      <w:r>
        <w:pict>
          <v:rect id="_x0000_i1030" style="width:0;height:0.75pt" o:hrstd="t" o:hrnoshade="t" o:hr="t" fillcolor="#404040" stroked="f"/>
        </w:pict>
      </w:r>
    </w:p>
    <w:p w:rsidR="00F74441" w:rsidRPr="00264C3B" w:rsidP="00144B13" w14:paraId="6AB168D8" w14:textId="7E3F11FF">
      <w:pPr>
        <w:pStyle w:val="NormalWeb"/>
        <w:spacing w:line="360" w:lineRule="auto"/>
        <w:jc w:val="both"/>
        <w:rPr>
          <w:b/>
          <w:bCs/>
          <w:color w:val="404040"/>
        </w:rPr>
      </w:pPr>
      <w:r w:rsidRPr="00144B13">
        <w:rPr>
          <w:rStyle w:val="Strong"/>
          <w:color w:val="404040"/>
        </w:rPr>
        <w:t>SALA DAS SESSÕE</w:t>
      </w:r>
      <w:r w:rsidRPr="00144B13" w:rsidR="00FA6BC2">
        <w:rPr>
          <w:rStyle w:val="Strong"/>
          <w:color w:val="404040"/>
        </w:rPr>
        <w:t>S “VEREADOR SANTO RÓTTOLI”, em</w:t>
      </w:r>
      <w:r w:rsidRPr="00144B13" w:rsidR="00B01151">
        <w:rPr>
          <w:rStyle w:val="Strong"/>
          <w:color w:val="404040"/>
        </w:rPr>
        <w:t xml:space="preserve"> </w:t>
      </w:r>
      <w:r w:rsidR="00264C3B">
        <w:rPr>
          <w:rStyle w:val="Strong"/>
          <w:color w:val="404040"/>
        </w:rPr>
        <w:t>02 de setembro</w:t>
      </w:r>
      <w:r w:rsidRPr="00144B13">
        <w:rPr>
          <w:rStyle w:val="Strong"/>
          <w:color w:val="404040"/>
        </w:rPr>
        <w:t xml:space="preserve"> de 2025.</w:t>
      </w:r>
    </w:p>
    <w:p w:rsidR="00F74441" w:rsidRPr="00144B13" w:rsidP="00144B13" w14:paraId="2F48280A" w14:textId="77777777">
      <w:pPr>
        <w:spacing w:before="240" w:line="360" w:lineRule="auto"/>
        <w:jc w:val="center"/>
        <w:rPr>
          <w:i/>
          <w:sz w:val="24"/>
          <w:szCs w:val="24"/>
        </w:rPr>
      </w:pPr>
      <w:r w:rsidRPr="00144B13">
        <w:rPr>
          <w:bCs/>
          <w:i/>
          <w:sz w:val="24"/>
          <w:szCs w:val="24"/>
        </w:rPr>
        <w:t>(</w:t>
      </w:r>
      <w:r w:rsidRPr="00144B13">
        <w:rPr>
          <w:bCs/>
          <w:i/>
          <w:sz w:val="24"/>
          <w:szCs w:val="24"/>
        </w:rPr>
        <w:t>assinado</w:t>
      </w:r>
      <w:r w:rsidRPr="00144B13">
        <w:rPr>
          <w:bCs/>
          <w:i/>
          <w:sz w:val="24"/>
          <w:szCs w:val="24"/>
        </w:rPr>
        <w:t xml:space="preserve"> digitalmente)</w:t>
      </w:r>
    </w:p>
    <w:p w:rsidR="00F74441" w:rsidRPr="00144B13" w:rsidP="00144B13" w14:paraId="7E34DE79" w14:textId="77777777">
      <w:pPr>
        <w:spacing w:line="360" w:lineRule="auto"/>
        <w:jc w:val="center"/>
        <w:rPr>
          <w:b/>
          <w:sz w:val="24"/>
          <w:szCs w:val="24"/>
          <w:highlight w:val="white"/>
          <w:u w:val="single"/>
        </w:rPr>
      </w:pPr>
      <w:r w:rsidRPr="00144B13">
        <w:rPr>
          <w:b/>
          <w:sz w:val="24"/>
          <w:szCs w:val="24"/>
          <w:highlight w:val="white"/>
          <w:u w:val="single"/>
        </w:rPr>
        <w:t>VEREADOR JOÃO VICTOR GASPARINI</w:t>
      </w:r>
    </w:p>
    <w:p w:rsidR="00F74441" w:rsidRPr="00144B13" w:rsidP="00144B13" w14:paraId="4D47B5CD" w14:textId="77777777">
      <w:pPr>
        <w:spacing w:line="360" w:lineRule="auto"/>
        <w:jc w:val="center"/>
        <w:rPr>
          <w:sz w:val="24"/>
          <w:szCs w:val="24"/>
        </w:rPr>
      </w:pPr>
      <w:r w:rsidRPr="00144B13">
        <w:rPr>
          <w:sz w:val="24"/>
          <w:szCs w:val="24"/>
        </w:rPr>
        <w:t>Relator</w:t>
      </w:r>
    </w:p>
    <w:p w:rsidR="003D6D21" w:rsidRPr="00144B13" w:rsidP="00144B13" w14:paraId="5B4E1E8B" w14:textId="77777777">
      <w:pPr>
        <w:spacing w:line="360" w:lineRule="auto"/>
        <w:jc w:val="both"/>
        <w:rPr>
          <w:sz w:val="24"/>
          <w:szCs w:val="24"/>
        </w:rPr>
      </w:pPr>
    </w:p>
    <w:p w:rsidR="00F74441" w:rsidRPr="00144B13" w:rsidP="00144B13" w14:paraId="0B276300" w14:textId="77777777">
      <w:pPr>
        <w:spacing w:line="360" w:lineRule="auto"/>
        <w:jc w:val="both"/>
        <w:rPr>
          <w:sz w:val="24"/>
          <w:szCs w:val="24"/>
        </w:rPr>
      </w:pPr>
      <w:r>
        <w:rPr>
          <w:sz w:val="24"/>
          <w:szCs w:val="24"/>
        </w:rPr>
        <w:pict>
          <v:rect id="_x0000_i1031" style="width:0;height:0.75pt" o:hralign="center" o:hrstd="t" o:hrnoshade="t" o:hr="t" fillcolor="#404040" stroked="f"/>
        </w:pict>
      </w:r>
    </w:p>
    <w:p w:rsidR="00C926D0" w:rsidRPr="00144B13" w:rsidP="00144B13" w14:paraId="010DA84F" w14:textId="7F38FE2D">
      <w:pPr>
        <w:spacing w:line="360" w:lineRule="auto"/>
        <w:jc w:val="both"/>
        <w:rPr>
          <w:rStyle w:val="Strong"/>
          <w:b w:val="0"/>
          <w:bCs w:val="0"/>
          <w:color w:val="404040"/>
          <w:sz w:val="24"/>
          <w:szCs w:val="24"/>
        </w:rPr>
      </w:pPr>
    </w:p>
    <w:p w:rsidR="003C7058" w:rsidRPr="00144B13" w:rsidP="00144B13" w14:paraId="467E074E" w14:textId="77777777">
      <w:pPr>
        <w:spacing w:line="360" w:lineRule="auto"/>
        <w:jc w:val="both"/>
        <w:rPr>
          <w:rStyle w:val="Strong"/>
          <w:bCs w:val="0"/>
          <w:color w:val="404040"/>
          <w:sz w:val="24"/>
          <w:szCs w:val="24"/>
        </w:rPr>
      </w:pPr>
    </w:p>
    <w:p w:rsidR="00F74441" w:rsidRPr="00144B13" w:rsidP="00144B13" w14:paraId="1D4CD745" w14:textId="27EB3B0C">
      <w:pPr>
        <w:spacing w:line="360" w:lineRule="auto"/>
        <w:jc w:val="both"/>
        <w:rPr>
          <w:color w:val="404040"/>
          <w:sz w:val="24"/>
          <w:szCs w:val="24"/>
        </w:rPr>
      </w:pPr>
      <w:r w:rsidRPr="00144B13">
        <w:rPr>
          <w:rStyle w:val="Strong"/>
          <w:bCs w:val="0"/>
          <w:color w:val="404040"/>
          <w:sz w:val="24"/>
          <w:szCs w:val="24"/>
        </w:rPr>
        <w:t>REFERÊNCIAS</w:t>
      </w:r>
    </w:p>
    <w:p w:rsidR="00144B13" w:rsidRPr="00144B13" w:rsidP="00EF1F7A" w14:paraId="35F25267" w14:textId="4DF6ECB6">
      <w:pPr>
        <w:jc w:val="both"/>
        <w:rPr>
          <w:sz w:val="24"/>
          <w:szCs w:val="24"/>
        </w:rPr>
      </w:pPr>
      <w:r w:rsidRPr="00144B13">
        <w:rPr>
          <w:sz w:val="24"/>
          <w:szCs w:val="24"/>
        </w:rPr>
        <w:t>BRASIL. Constituição da República Federativa do Brasil de 1988. Brasília, DF: Senado Federal, 1988.</w:t>
      </w:r>
      <w:r w:rsidRPr="00144B13">
        <w:rPr>
          <w:sz w:val="24"/>
          <w:szCs w:val="24"/>
        </w:rPr>
        <w:br/>
        <w:t xml:space="preserve">FIORILLO, Celso Antônio Pacheco; FERREIRA, Renata Marques. Tutela Jurídica do Patrimônio Cultural Brasileiro em Face do Direito Ambiental Constitucional. Rio de Janeiro: </w:t>
      </w:r>
      <w:r w:rsidRPr="00144B13">
        <w:rPr>
          <w:sz w:val="24"/>
          <w:szCs w:val="24"/>
        </w:rPr>
        <w:t>Lumen</w:t>
      </w:r>
      <w:r w:rsidRPr="00144B13">
        <w:rPr>
          <w:sz w:val="24"/>
          <w:szCs w:val="24"/>
        </w:rPr>
        <w:t xml:space="preserve"> Juris, 2018.</w:t>
      </w:r>
      <w:r w:rsidRPr="00144B13">
        <w:rPr>
          <w:sz w:val="24"/>
          <w:szCs w:val="24"/>
        </w:rPr>
        <w:br/>
        <w:t>MEDINA, José Miguel Garcia. Constituição Federal Comentada. 4. ed. São Paulo: Revista dos Tribunais, 2019.</w:t>
      </w:r>
      <w:r w:rsidRPr="00144B13">
        <w:rPr>
          <w:sz w:val="24"/>
          <w:szCs w:val="24"/>
        </w:rPr>
        <w:br/>
        <w:t>MOGI MIRIM. Projeto de Lei nº 70/2025. Câmara Municipal de Mogi Mirim, 2025a.</w:t>
      </w:r>
      <w:r w:rsidRPr="00144B13">
        <w:rPr>
          <w:sz w:val="24"/>
          <w:szCs w:val="24"/>
        </w:rPr>
        <w:br/>
        <w:t>MOGI MIRIM. Resolução nº 276, de 09 de novembro de 2010. Dispõe sobre o Regimento Interno da Câmara Municipal de Mogi Mirim. Mogi Mirim: Câmara Municipal, 2010.</w:t>
      </w:r>
      <w:r w:rsidRPr="00144B13">
        <w:rPr>
          <w:sz w:val="24"/>
          <w:szCs w:val="24"/>
        </w:rPr>
        <w:br/>
        <w:t>NERY JÚNIOR, Nelson. Comentários à Constituição Federal de 1988. Rio de Janeiro: Forense, 2009.</w:t>
      </w:r>
      <w:r w:rsidRPr="00144B13">
        <w:rPr>
          <w:sz w:val="24"/>
          <w:szCs w:val="24"/>
        </w:rPr>
        <w:br/>
        <w:t>PAULO, Vicente; ALEXANDRINO, Marcelo. Direito Constitucional Descomplicado. 19. ed. Rio de Janeiro: Método, 2020.</w:t>
      </w:r>
      <w:r w:rsidRPr="00144B13">
        <w:rPr>
          <w:sz w:val="24"/>
          <w:szCs w:val="24"/>
        </w:rPr>
        <w:br/>
        <w:t>SGP – SOLUÇÕES EM GESTÃO PÚBLICA. Parecer jurídico – Projeto de Lei nº 70/2025. Consulta nº 0371/2025. São Paulo: SGP, 2025.</w:t>
      </w:r>
      <w:r w:rsidRPr="00144B13">
        <w:rPr>
          <w:sz w:val="24"/>
          <w:szCs w:val="24"/>
        </w:rPr>
        <w:br/>
        <w:t xml:space="preserve">TJSP – Tribunal de Justiça do Estado de São Paulo. Ação Direta de Inconstitucionalidade nº 2261493-96.2019.8.26.0000. Rel. Des. Francisco </w:t>
      </w:r>
      <w:r w:rsidRPr="00144B13">
        <w:rPr>
          <w:sz w:val="24"/>
          <w:szCs w:val="24"/>
        </w:rPr>
        <w:t>Casconi</w:t>
      </w:r>
      <w:r w:rsidRPr="00144B13">
        <w:rPr>
          <w:sz w:val="24"/>
          <w:szCs w:val="24"/>
        </w:rPr>
        <w:t>, j. 08 jul. 2020.</w:t>
      </w:r>
      <w:r w:rsidRPr="00144B13">
        <w:rPr>
          <w:sz w:val="24"/>
          <w:szCs w:val="24"/>
        </w:rPr>
        <w:br/>
        <w:t>TJSP – Tribunal de Justiça do Estado de São Paulo. Ação Direta de Inconstitucionalidade nº 2199673-47.2017.8.26.0000. Rel. Des. Péricles Piza, j. 04 abr. 2018.</w:t>
      </w:r>
      <w:r w:rsidRPr="00144B13">
        <w:rPr>
          <w:sz w:val="24"/>
          <w:szCs w:val="24"/>
        </w:rPr>
        <w:br w:type="page"/>
      </w:r>
    </w:p>
    <w:p w:rsidR="00C926D0" w:rsidRPr="00144B13" w:rsidP="00144B13" w14:paraId="21C9EEEC" w14:textId="17DC5227">
      <w:pPr>
        <w:pStyle w:val="NormalWeb"/>
        <w:spacing w:line="360" w:lineRule="auto"/>
        <w:jc w:val="center"/>
        <w:rPr>
          <w:color w:val="404040"/>
        </w:rPr>
      </w:pPr>
      <w:r w:rsidRPr="00144B13">
        <w:rPr>
          <w:rStyle w:val="Strong"/>
          <w:color w:val="404040"/>
        </w:rPr>
        <w:t xml:space="preserve">PARECER </w:t>
      </w:r>
      <w:r w:rsidRPr="00144B13" w:rsidR="0042475C">
        <w:rPr>
          <w:rStyle w:val="Strong"/>
          <w:color w:val="404040"/>
        </w:rPr>
        <w:t>DA COMISSÃO</w:t>
      </w:r>
      <w:r w:rsidRPr="00144B13">
        <w:rPr>
          <w:rStyle w:val="Strong"/>
          <w:color w:val="404040"/>
        </w:rPr>
        <w:t xml:space="preserve"> DE JUSTIÇA E </w:t>
      </w:r>
      <w:r w:rsidRPr="00144B13" w:rsidR="00144B13">
        <w:rPr>
          <w:rStyle w:val="Strong"/>
          <w:color w:val="404040"/>
        </w:rPr>
        <w:t>AO PROJETO DE LEI Nº 70</w:t>
      </w:r>
      <w:r w:rsidRPr="00144B13">
        <w:rPr>
          <w:rStyle w:val="Strong"/>
          <w:color w:val="404040"/>
        </w:rPr>
        <w:t>/2025</w:t>
      </w:r>
    </w:p>
    <w:p w:rsidR="00144B13" w:rsidRPr="00144B13" w:rsidP="00EF1F7A" w14:paraId="5AEFC89F" w14:textId="77777777">
      <w:pPr>
        <w:pStyle w:val="NormalWeb"/>
        <w:spacing w:line="360" w:lineRule="auto"/>
        <w:jc w:val="both"/>
      </w:pPr>
      <w:r w:rsidRPr="00144B13">
        <w:rPr>
          <w:color w:val="404040"/>
        </w:rPr>
        <w:tab/>
      </w:r>
      <w:r w:rsidRPr="00144B13">
        <w:t xml:space="preserve">A Comissão de Justiça e Redação, no uso de suas atribuições regimentais, nos termos do artigo 35 da Resolução nº 276, de 09 de novembro de 2010 (Regimento Interno da Câmara Municipal de Mogi Mirim), após análise do Projeto de Lei nº 70/2025, de iniciativa parlamentar, opina pela sua aprovação, por entender que a matéria </w:t>
      </w:r>
      <w:r w:rsidRPr="00144B13">
        <w:t>encontra-se</w:t>
      </w:r>
      <w:r w:rsidRPr="00144B13">
        <w:t xml:space="preserve"> em conformidade com as normas constitucionais, legais e regimentais aplicáveis.</w:t>
      </w:r>
    </w:p>
    <w:p w:rsidR="00144B13" w:rsidRPr="00144B13" w:rsidP="00EF1F7A" w14:paraId="3BF05334" w14:textId="0DB4CAC2">
      <w:pPr>
        <w:pStyle w:val="NormalWeb"/>
        <w:spacing w:line="360" w:lineRule="auto"/>
        <w:jc w:val="both"/>
      </w:pPr>
      <w:r w:rsidRPr="00144B13">
        <w:tab/>
      </w:r>
      <w:r w:rsidRPr="00144B13">
        <w:t xml:space="preserve">Ressalta-se, ainda, que a proposição </w:t>
      </w:r>
      <w:r w:rsidRPr="00144B13">
        <w:t>insere-se</w:t>
      </w:r>
      <w:r w:rsidRPr="00144B13">
        <w:t xml:space="preserve"> no âmbito da competência legislativa municipal (art. 30, I e IX, da Constituição Federal), encontra respaldo nos </w:t>
      </w:r>
      <w:r w:rsidRPr="00144B13">
        <w:t>arts</w:t>
      </w:r>
      <w:r w:rsidRPr="00144B13">
        <w:t>. 215 e 216 da Carta Magna, que asseguram a proteção e promoção do patrimônio cultural material e imaterial, e não apresenta vícios insanáveis de iniciativa ou de constitucionalidade que possam obstar sua regular tramitação, em consonância com a jurisprudência do Tribunal de Justiça de São Paulo acerca da legitimidade de leis municipais de iniciativa parlamentar voltadas à proteção do patrimônio cultural local.</w:t>
      </w:r>
    </w:p>
    <w:p w:rsidR="00C926D0" w:rsidRPr="00144B13" w:rsidP="00144B13" w14:paraId="2CD1CB90" w14:textId="55B6A549">
      <w:pPr>
        <w:pStyle w:val="NormalWeb"/>
        <w:spacing w:line="360" w:lineRule="auto"/>
        <w:jc w:val="both"/>
      </w:pPr>
    </w:p>
    <w:p w:rsidR="00C926D0" w:rsidRPr="00144B13" w:rsidP="00144B13" w14:paraId="077B16AD" w14:textId="77777777">
      <w:pPr>
        <w:pStyle w:val="NormalWeb"/>
        <w:spacing w:line="360" w:lineRule="auto"/>
        <w:jc w:val="both"/>
      </w:pPr>
    </w:p>
    <w:p w:rsidR="00C926D0" w:rsidRPr="00144B13" w:rsidP="00144B13" w14:paraId="5E75B44B" w14:textId="77777777">
      <w:pPr>
        <w:pStyle w:val="NormalWeb"/>
        <w:spacing w:line="360" w:lineRule="auto"/>
        <w:jc w:val="both"/>
        <w:rPr>
          <w:color w:val="404040"/>
        </w:rPr>
      </w:pPr>
    </w:p>
    <w:p w:rsidR="005C2F3A" w:rsidRPr="00144B13" w:rsidP="00144B13" w14:paraId="62681F87" w14:textId="77777777">
      <w:pPr>
        <w:pStyle w:val="NormalWeb"/>
        <w:spacing w:line="360" w:lineRule="auto"/>
        <w:jc w:val="center"/>
        <w:rPr>
          <w:color w:val="404040"/>
          <w:u w:val="single"/>
        </w:rPr>
      </w:pPr>
      <w:r w:rsidRPr="00144B13">
        <w:rPr>
          <w:b/>
          <w:u w:val="single"/>
        </w:rPr>
        <w:t>COMISSÃO DE JUSTIÇA E REDAÇÃO</w:t>
      </w:r>
    </w:p>
    <w:p w:rsidR="005C2F3A" w:rsidRPr="00144B13" w:rsidP="00144B13" w14:paraId="4F8E5A5B" w14:textId="77777777">
      <w:pPr>
        <w:spacing w:before="240" w:line="360" w:lineRule="auto"/>
        <w:jc w:val="center"/>
        <w:rPr>
          <w:i/>
          <w:sz w:val="24"/>
          <w:szCs w:val="24"/>
        </w:rPr>
      </w:pPr>
      <w:r w:rsidRPr="00144B13">
        <w:rPr>
          <w:bCs/>
          <w:i/>
          <w:sz w:val="24"/>
          <w:szCs w:val="24"/>
        </w:rPr>
        <w:t>(</w:t>
      </w:r>
      <w:r w:rsidRPr="00144B13">
        <w:rPr>
          <w:bCs/>
          <w:i/>
          <w:sz w:val="24"/>
          <w:szCs w:val="24"/>
        </w:rPr>
        <w:t>assinado</w:t>
      </w:r>
      <w:r w:rsidRPr="00144B13">
        <w:rPr>
          <w:bCs/>
          <w:i/>
          <w:sz w:val="24"/>
          <w:szCs w:val="24"/>
        </w:rPr>
        <w:t xml:space="preserve"> digitalmente)</w:t>
      </w:r>
      <w:r w:rsidRPr="00144B13">
        <w:rPr>
          <w:bCs/>
          <w:i/>
          <w:sz w:val="24"/>
          <w:szCs w:val="24"/>
        </w:rPr>
        <w:br/>
      </w:r>
      <w:r w:rsidRPr="00144B13">
        <w:rPr>
          <w:b/>
          <w:sz w:val="24"/>
          <w:szCs w:val="24"/>
        </w:rPr>
        <w:t>VEREADOR WAGNER RICARDO PEREIRA</w:t>
      </w:r>
      <w:r w:rsidRPr="00144B13">
        <w:rPr>
          <w:b/>
          <w:sz w:val="24"/>
          <w:szCs w:val="24"/>
        </w:rPr>
        <w:br/>
      </w:r>
      <w:r w:rsidRPr="00144B13">
        <w:rPr>
          <w:sz w:val="24"/>
          <w:szCs w:val="24"/>
        </w:rPr>
        <w:t>Presidente</w:t>
      </w:r>
    </w:p>
    <w:p w:rsidR="005C2F3A" w:rsidRPr="00144B13" w:rsidP="00144B13" w14:paraId="232D2682" w14:textId="77777777">
      <w:pPr>
        <w:spacing w:before="240" w:line="360" w:lineRule="auto"/>
        <w:jc w:val="center"/>
        <w:rPr>
          <w:i/>
          <w:sz w:val="24"/>
          <w:szCs w:val="24"/>
        </w:rPr>
      </w:pPr>
      <w:r w:rsidRPr="00144B13">
        <w:rPr>
          <w:bCs/>
          <w:i/>
          <w:sz w:val="24"/>
          <w:szCs w:val="24"/>
        </w:rPr>
        <w:t>(</w:t>
      </w:r>
      <w:r w:rsidRPr="00144B13">
        <w:rPr>
          <w:bCs/>
          <w:i/>
          <w:sz w:val="24"/>
          <w:szCs w:val="24"/>
        </w:rPr>
        <w:t>assinado</w:t>
      </w:r>
      <w:r w:rsidRPr="00144B13">
        <w:rPr>
          <w:bCs/>
          <w:i/>
          <w:sz w:val="24"/>
          <w:szCs w:val="24"/>
        </w:rPr>
        <w:t xml:space="preserve"> digitalmente)</w:t>
      </w:r>
      <w:r w:rsidRPr="00144B13">
        <w:rPr>
          <w:bCs/>
          <w:i/>
          <w:sz w:val="24"/>
          <w:szCs w:val="24"/>
        </w:rPr>
        <w:br/>
      </w:r>
      <w:r w:rsidRPr="00144B13">
        <w:rPr>
          <w:b/>
          <w:sz w:val="24"/>
          <w:szCs w:val="24"/>
        </w:rPr>
        <w:t>VEREADOR MANOEL EDUARDO PEREIRA DA CRUZ PALOMINO</w:t>
      </w:r>
      <w:r w:rsidRPr="00144B13">
        <w:rPr>
          <w:b/>
          <w:sz w:val="24"/>
          <w:szCs w:val="24"/>
        </w:rPr>
        <w:br/>
      </w:r>
      <w:r w:rsidRPr="00144B13">
        <w:rPr>
          <w:sz w:val="24"/>
          <w:szCs w:val="24"/>
        </w:rPr>
        <w:t>Vice-Presidente</w:t>
      </w:r>
    </w:p>
    <w:p w:rsidR="003C73BE" w:rsidRPr="00144B13" w:rsidP="00144B13" w14:paraId="52263E72" w14:textId="2FDF5164">
      <w:pPr>
        <w:spacing w:before="240" w:line="360" w:lineRule="auto"/>
        <w:jc w:val="center"/>
        <w:rPr>
          <w:sz w:val="24"/>
          <w:szCs w:val="24"/>
        </w:rPr>
      </w:pPr>
      <w:r w:rsidRPr="00144B13">
        <w:rPr>
          <w:bCs/>
          <w:i/>
          <w:sz w:val="24"/>
          <w:szCs w:val="24"/>
        </w:rPr>
        <w:t>(</w:t>
      </w:r>
      <w:r w:rsidRPr="00144B13">
        <w:rPr>
          <w:bCs/>
          <w:i/>
          <w:sz w:val="24"/>
          <w:szCs w:val="24"/>
        </w:rPr>
        <w:t>assinado</w:t>
      </w:r>
      <w:r w:rsidRPr="00144B13">
        <w:rPr>
          <w:bCs/>
          <w:i/>
          <w:sz w:val="24"/>
          <w:szCs w:val="24"/>
        </w:rPr>
        <w:t xml:space="preserve"> digitalmente)</w:t>
      </w:r>
      <w:r w:rsidRPr="00144B13">
        <w:rPr>
          <w:bCs/>
          <w:i/>
          <w:sz w:val="24"/>
          <w:szCs w:val="24"/>
        </w:rPr>
        <w:br/>
      </w:r>
      <w:r w:rsidRPr="00144B13">
        <w:rPr>
          <w:b/>
          <w:sz w:val="24"/>
          <w:szCs w:val="24"/>
        </w:rPr>
        <w:t>VEREADOR JOÃO VICTOR GASPARINI</w:t>
      </w:r>
      <w:r w:rsidRPr="00144B13">
        <w:rPr>
          <w:b/>
          <w:sz w:val="24"/>
          <w:szCs w:val="24"/>
        </w:rPr>
        <w:br/>
      </w:r>
      <w:r w:rsidRPr="00144B13">
        <w:rPr>
          <w:sz w:val="24"/>
          <w:szCs w:val="24"/>
        </w:rPr>
        <w:t>Membro</w:t>
      </w:r>
    </w:p>
    <w:p w:rsidR="005C2F3A" w:rsidRPr="00144B13" w:rsidP="00144B13" w14:paraId="50E1BF62" w14:textId="0DFE27C7">
      <w:pPr>
        <w:spacing w:line="360" w:lineRule="auto"/>
        <w:jc w:val="both"/>
        <w:rPr>
          <w:b/>
          <w:sz w:val="24"/>
          <w:szCs w:val="24"/>
          <w:u w:val="single"/>
        </w:rPr>
      </w:pPr>
    </w:p>
    <w:sectPr w:rsidSect="00914ADC">
      <w:headerReference w:type="even" r:id="rId4"/>
      <w:headerReference w:type="default" r:id="rId5"/>
      <w:footerReference w:type="default" r:id="rId6"/>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8A537A"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322469"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92FE7"/>
    <w:multiLevelType w:val="hybridMultilevel"/>
    <w:tmpl w:val="C228F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54647A2"/>
    <w:multiLevelType w:val="multilevel"/>
    <w:tmpl w:val="CDEA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D3B3C"/>
    <w:multiLevelType w:val="multilevel"/>
    <w:tmpl w:val="3886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D514BF"/>
    <w:multiLevelType w:val="multilevel"/>
    <w:tmpl w:val="2C644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EB5F50"/>
    <w:multiLevelType w:val="hybridMultilevel"/>
    <w:tmpl w:val="6FEAB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4F5888"/>
    <w:multiLevelType w:val="multilevel"/>
    <w:tmpl w:val="3CA0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794B24"/>
    <w:multiLevelType w:val="hybridMultilevel"/>
    <w:tmpl w:val="DAA21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B82330"/>
    <w:multiLevelType w:val="multilevel"/>
    <w:tmpl w:val="6852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3635D9"/>
    <w:multiLevelType w:val="hybridMultilevel"/>
    <w:tmpl w:val="0884F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CA10EA"/>
    <w:multiLevelType w:val="hybridMultilevel"/>
    <w:tmpl w:val="1B0AA3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375DEB"/>
    <w:multiLevelType w:val="multilevel"/>
    <w:tmpl w:val="A64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885E91"/>
    <w:multiLevelType w:val="multilevel"/>
    <w:tmpl w:val="38C0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43155"/>
    <w:multiLevelType w:val="hybridMultilevel"/>
    <w:tmpl w:val="A6C43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73666D"/>
    <w:multiLevelType w:val="multilevel"/>
    <w:tmpl w:val="56C4F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FA537A"/>
    <w:multiLevelType w:val="hybridMultilevel"/>
    <w:tmpl w:val="4EEE5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554C3"/>
    <w:multiLevelType w:val="hybridMultilevel"/>
    <w:tmpl w:val="14A67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49273E"/>
    <w:multiLevelType w:val="multilevel"/>
    <w:tmpl w:val="7D4C4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89617A"/>
    <w:multiLevelType w:val="hybridMultilevel"/>
    <w:tmpl w:val="7E308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A95C4C"/>
    <w:multiLevelType w:val="multilevel"/>
    <w:tmpl w:val="2328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2"/>
  </w:num>
  <w:num w:numId="4">
    <w:abstractNumId w:val="9"/>
  </w:num>
  <w:num w:numId="5">
    <w:abstractNumId w:val="27"/>
  </w:num>
  <w:num w:numId="6">
    <w:abstractNumId w:val="31"/>
  </w:num>
  <w:num w:numId="7">
    <w:abstractNumId w:val="5"/>
  </w:num>
  <w:num w:numId="8">
    <w:abstractNumId w:val="12"/>
  </w:num>
  <w:num w:numId="9">
    <w:abstractNumId w:val="8"/>
  </w:num>
  <w:num w:numId="10">
    <w:abstractNumId w:val="7"/>
  </w:num>
  <w:num w:numId="11">
    <w:abstractNumId w:val="6"/>
  </w:num>
  <w:num w:numId="12">
    <w:abstractNumId w:val="22"/>
  </w:num>
  <w:num w:numId="13">
    <w:abstractNumId w:val="1"/>
  </w:num>
  <w:num w:numId="14">
    <w:abstractNumId w:val="4"/>
  </w:num>
  <w:num w:numId="15">
    <w:abstractNumId w:val="19"/>
  </w:num>
  <w:num w:numId="16">
    <w:abstractNumId w:val="20"/>
  </w:num>
  <w:num w:numId="17">
    <w:abstractNumId w:val="17"/>
  </w:num>
  <w:num w:numId="18">
    <w:abstractNumId w:val="24"/>
  </w:num>
  <w:num w:numId="19">
    <w:abstractNumId w:val="28"/>
  </w:num>
  <w:num w:numId="20">
    <w:abstractNumId w:val="30"/>
  </w:num>
  <w:num w:numId="21">
    <w:abstractNumId w:val="16"/>
  </w:num>
  <w:num w:numId="22">
    <w:abstractNumId w:val="14"/>
  </w:num>
  <w:num w:numId="23">
    <w:abstractNumId w:val="29"/>
  </w:num>
  <w:num w:numId="24">
    <w:abstractNumId w:val="26"/>
  </w:num>
  <w:num w:numId="25">
    <w:abstractNumId w:val="23"/>
  </w:num>
  <w:num w:numId="26">
    <w:abstractNumId w:val="3"/>
  </w:num>
  <w:num w:numId="27">
    <w:abstractNumId w:val="32"/>
  </w:num>
  <w:num w:numId="28">
    <w:abstractNumId w:val="18"/>
  </w:num>
  <w:num w:numId="29">
    <w:abstractNumId w:val="0"/>
  </w:num>
  <w:num w:numId="30">
    <w:abstractNumId w:val="25"/>
  </w:num>
  <w:num w:numId="31">
    <w:abstractNumId w:val="13"/>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6797"/>
    <w:rsid w:val="00037531"/>
    <w:rsid w:val="00041A2D"/>
    <w:rsid w:val="000468A3"/>
    <w:rsid w:val="00070FE7"/>
    <w:rsid w:val="00071EF2"/>
    <w:rsid w:val="0008150E"/>
    <w:rsid w:val="00096F36"/>
    <w:rsid w:val="000A1BE0"/>
    <w:rsid w:val="000B5637"/>
    <w:rsid w:val="000D5B4B"/>
    <w:rsid w:val="000F4933"/>
    <w:rsid w:val="00126AE5"/>
    <w:rsid w:val="00144B13"/>
    <w:rsid w:val="00147B39"/>
    <w:rsid w:val="0015590E"/>
    <w:rsid w:val="00161C7F"/>
    <w:rsid w:val="00181506"/>
    <w:rsid w:val="00187FC6"/>
    <w:rsid w:val="00192536"/>
    <w:rsid w:val="001A3CE4"/>
    <w:rsid w:val="001B7303"/>
    <w:rsid w:val="0020165D"/>
    <w:rsid w:val="00213987"/>
    <w:rsid w:val="00227106"/>
    <w:rsid w:val="00227E2C"/>
    <w:rsid w:val="00234376"/>
    <w:rsid w:val="0024645C"/>
    <w:rsid w:val="00264C3B"/>
    <w:rsid w:val="00297379"/>
    <w:rsid w:val="002A2BD3"/>
    <w:rsid w:val="002B71AC"/>
    <w:rsid w:val="003121C8"/>
    <w:rsid w:val="00314B47"/>
    <w:rsid w:val="00322469"/>
    <w:rsid w:val="00330DDB"/>
    <w:rsid w:val="00371A69"/>
    <w:rsid w:val="0038129E"/>
    <w:rsid w:val="00381C00"/>
    <w:rsid w:val="003A5737"/>
    <w:rsid w:val="003A796B"/>
    <w:rsid w:val="003B1A59"/>
    <w:rsid w:val="003C7058"/>
    <w:rsid w:val="003C73BE"/>
    <w:rsid w:val="003D6D21"/>
    <w:rsid w:val="003E5C73"/>
    <w:rsid w:val="003F0B47"/>
    <w:rsid w:val="00405098"/>
    <w:rsid w:val="0042475C"/>
    <w:rsid w:val="00446FA1"/>
    <w:rsid w:val="00456770"/>
    <w:rsid w:val="004740DD"/>
    <w:rsid w:val="00493FCA"/>
    <w:rsid w:val="004B6FDF"/>
    <w:rsid w:val="004D46DA"/>
    <w:rsid w:val="004D7E50"/>
    <w:rsid w:val="004E6092"/>
    <w:rsid w:val="005242B1"/>
    <w:rsid w:val="00525DC3"/>
    <w:rsid w:val="005559D9"/>
    <w:rsid w:val="0057515A"/>
    <w:rsid w:val="005A235E"/>
    <w:rsid w:val="005B766F"/>
    <w:rsid w:val="005C2F3A"/>
    <w:rsid w:val="005E491E"/>
    <w:rsid w:val="005F2654"/>
    <w:rsid w:val="005F4E55"/>
    <w:rsid w:val="005F54DA"/>
    <w:rsid w:val="00613747"/>
    <w:rsid w:val="006834FE"/>
    <w:rsid w:val="00697874"/>
    <w:rsid w:val="006A54A9"/>
    <w:rsid w:val="006E0AD3"/>
    <w:rsid w:val="007038AD"/>
    <w:rsid w:val="0070466D"/>
    <w:rsid w:val="0072029A"/>
    <w:rsid w:val="007362C7"/>
    <w:rsid w:val="007556D8"/>
    <w:rsid w:val="0078178E"/>
    <w:rsid w:val="00784CD4"/>
    <w:rsid w:val="00785E1B"/>
    <w:rsid w:val="007A08D1"/>
    <w:rsid w:val="00805ED4"/>
    <w:rsid w:val="00842408"/>
    <w:rsid w:val="00850EEC"/>
    <w:rsid w:val="00855DD2"/>
    <w:rsid w:val="00864928"/>
    <w:rsid w:val="00881E60"/>
    <w:rsid w:val="008905C2"/>
    <w:rsid w:val="00896E82"/>
    <w:rsid w:val="008A537A"/>
    <w:rsid w:val="008B2B4D"/>
    <w:rsid w:val="008C08C5"/>
    <w:rsid w:val="008C4AA2"/>
    <w:rsid w:val="00902EE1"/>
    <w:rsid w:val="00904ADF"/>
    <w:rsid w:val="00904CFE"/>
    <w:rsid w:val="00914ADC"/>
    <w:rsid w:val="00920A3F"/>
    <w:rsid w:val="00925E1A"/>
    <w:rsid w:val="00934784"/>
    <w:rsid w:val="009914A7"/>
    <w:rsid w:val="00993823"/>
    <w:rsid w:val="009D6B7C"/>
    <w:rsid w:val="009E1883"/>
    <w:rsid w:val="009F0405"/>
    <w:rsid w:val="00A00E3E"/>
    <w:rsid w:val="00A12DD9"/>
    <w:rsid w:val="00A164DC"/>
    <w:rsid w:val="00A27446"/>
    <w:rsid w:val="00A442B4"/>
    <w:rsid w:val="00A672C0"/>
    <w:rsid w:val="00AD2770"/>
    <w:rsid w:val="00AD4B45"/>
    <w:rsid w:val="00AE5858"/>
    <w:rsid w:val="00AF0C05"/>
    <w:rsid w:val="00AF3296"/>
    <w:rsid w:val="00AF4AC7"/>
    <w:rsid w:val="00B01151"/>
    <w:rsid w:val="00B14150"/>
    <w:rsid w:val="00B57090"/>
    <w:rsid w:val="00B849D9"/>
    <w:rsid w:val="00BA48C7"/>
    <w:rsid w:val="00BE41D6"/>
    <w:rsid w:val="00BE4D63"/>
    <w:rsid w:val="00BE7EBC"/>
    <w:rsid w:val="00BF2A6F"/>
    <w:rsid w:val="00C10154"/>
    <w:rsid w:val="00C104F1"/>
    <w:rsid w:val="00C67345"/>
    <w:rsid w:val="00C74E3F"/>
    <w:rsid w:val="00C75973"/>
    <w:rsid w:val="00C926D0"/>
    <w:rsid w:val="00CA4349"/>
    <w:rsid w:val="00CC3E72"/>
    <w:rsid w:val="00CC602E"/>
    <w:rsid w:val="00CF288D"/>
    <w:rsid w:val="00D233F3"/>
    <w:rsid w:val="00D33D19"/>
    <w:rsid w:val="00D52DAE"/>
    <w:rsid w:val="00D543E6"/>
    <w:rsid w:val="00D635A7"/>
    <w:rsid w:val="00D66197"/>
    <w:rsid w:val="00D735E2"/>
    <w:rsid w:val="00D80A2E"/>
    <w:rsid w:val="00D81BDB"/>
    <w:rsid w:val="00D9258F"/>
    <w:rsid w:val="00DA7AB4"/>
    <w:rsid w:val="00DB5B53"/>
    <w:rsid w:val="00DB7A5A"/>
    <w:rsid w:val="00DC3C63"/>
    <w:rsid w:val="00DE2A9A"/>
    <w:rsid w:val="00DF605F"/>
    <w:rsid w:val="00E11ECC"/>
    <w:rsid w:val="00E3543A"/>
    <w:rsid w:val="00E57668"/>
    <w:rsid w:val="00E624EC"/>
    <w:rsid w:val="00E7438B"/>
    <w:rsid w:val="00EA0447"/>
    <w:rsid w:val="00EA375D"/>
    <w:rsid w:val="00EB1570"/>
    <w:rsid w:val="00EB3C9A"/>
    <w:rsid w:val="00EB76DA"/>
    <w:rsid w:val="00EC5677"/>
    <w:rsid w:val="00ED22AB"/>
    <w:rsid w:val="00ED7D93"/>
    <w:rsid w:val="00EE457C"/>
    <w:rsid w:val="00EF1F7A"/>
    <w:rsid w:val="00EF4DE4"/>
    <w:rsid w:val="00EF630E"/>
    <w:rsid w:val="00F10F57"/>
    <w:rsid w:val="00F21F60"/>
    <w:rsid w:val="00F304D4"/>
    <w:rsid w:val="00F42F8D"/>
    <w:rsid w:val="00F55E24"/>
    <w:rsid w:val="00F6339A"/>
    <w:rsid w:val="00F733EC"/>
    <w:rsid w:val="00F74441"/>
    <w:rsid w:val="00F83282"/>
    <w:rsid w:val="00F91A1F"/>
    <w:rsid w:val="00F91F4B"/>
    <w:rsid w:val="00F921DB"/>
    <w:rsid w:val="00FA6BC2"/>
    <w:rsid w:val="00FE7AE5"/>
    <w:rsid w:val="00FF139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5</Pages>
  <Words>1259</Words>
  <Characters>6803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JV Gasparini</cp:lastModifiedBy>
  <cp:revision>29</cp:revision>
  <cp:lastPrinted>2025-06-11T15:44:00Z</cp:lastPrinted>
  <dcterms:created xsi:type="dcterms:W3CDTF">2025-02-12T16:35:00Z</dcterms:created>
  <dcterms:modified xsi:type="dcterms:W3CDTF">2025-09-04T15:10:00Z</dcterms:modified>
</cp:coreProperties>
</file>