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99F8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0A99C75" w14:textId="77777777" w:rsidR="000A4184" w:rsidRDefault="000A4184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5E3F46C" w14:textId="77777777" w:rsidR="007E7F8B" w:rsidRPr="00771287" w:rsidRDefault="000A4184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62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15248464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69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34F7B54C" w14:textId="77777777" w:rsidR="000A4184" w:rsidRPr="00414414" w:rsidRDefault="000A4184" w:rsidP="000A4184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F2EB53" w14:textId="77777777" w:rsidR="000A4184" w:rsidRPr="000A4184" w:rsidRDefault="000A4184" w:rsidP="000A4184">
      <w:pPr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INSTITUI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VIZINHANÇA SOLIDÁRIA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MOGI MIRIM, E DÁ OUTRAS PROVIDÊNCIAS.</w:t>
      </w:r>
    </w:p>
    <w:p w14:paraId="0B3A9C7B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91DF8A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Câmara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 Mogi Mirim 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aprova:</w:t>
      </w:r>
    </w:p>
    <w:p w14:paraId="1139AE91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EAA6B2" w14:textId="77429FF5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o “Programa Vizinhança Solidária”, com o objetivo de incentivar a cooperação entre moradores, fortalecer a segurança comunitária e promover a integração social no </w:t>
      </w:r>
      <w:r w:rsidR="00E81DF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de Mogi Mirim. </w:t>
      </w:r>
    </w:p>
    <w:p w14:paraId="0109F972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B34AC6" w14:textId="77777777" w:rsid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será regido pelos seguintes princípios: </w:t>
      </w:r>
    </w:p>
    <w:p w14:paraId="57488F42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ACA9A0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>olidariedade e cooperação entre vizinhos;</w:t>
      </w:r>
    </w:p>
    <w:p w14:paraId="1BF42004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>revenção e segurança comunitária;</w:t>
      </w:r>
    </w:p>
    <w:p w14:paraId="7F7CF877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ncentivo à participação cidadã; </w:t>
      </w:r>
    </w:p>
    <w:p w14:paraId="7854E437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>espeito à privacidade e à liberdade individual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 </w:t>
      </w:r>
    </w:p>
    <w:p w14:paraId="6BC3FCE7" w14:textId="50539CC2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espeito às forças de segurança do </w:t>
      </w:r>
      <w:r w:rsidR="00E81DF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unicípio. </w:t>
      </w:r>
    </w:p>
    <w:p w14:paraId="58CA0B8C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9EDC6" w14:textId="77777777" w:rsid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Executivo, através das secretarias municipais competentes, respeitadas as atribuições de cada uma delas, poderá:</w:t>
      </w:r>
    </w:p>
    <w:p w14:paraId="15939EB2" w14:textId="77777777" w:rsid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3BDD5E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riar redes de comunicação entre moradores para troca de informações sobre segurança; </w:t>
      </w:r>
    </w:p>
    <w:p w14:paraId="22A83CA9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stimular ações conjuntas para prevenção de crimes e desastres; </w:t>
      </w:r>
    </w:p>
    <w:p w14:paraId="2B2BED3F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romover eventos e campanhas educativas sobre segurança e convivência; </w:t>
      </w:r>
    </w:p>
    <w:p w14:paraId="4F395929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stabelecer parcerias com órgãos públicos e entidades privadas para implementação de melhorias na comunidade. </w:t>
      </w:r>
    </w:p>
    <w:p w14:paraId="661E5A7A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1D955" w14:textId="002A6C7A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Os moradores poderão formar grupos de vizinhança solidária, organizados por ruas ou bairros, podendo a comunicação ser feita por meio de aplicativos, redes sociais ou reuniões periódicas, sem prejuízo da atuação dos Conselhos Comunitários de Segurança (CONSEG). </w:t>
      </w:r>
    </w:p>
    <w:p w14:paraId="517B51A4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F7F086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poderá oferecer treinamentos e materiais educativos sobre segurança comunitária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D30663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A90FA2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celebração de convênios, termos de parceria e instrumentos congêneres com a Polícia Militar, Guarda Civil Municipal, Polícia Civil e outros órgãos competentes será facultativa e não condicionante para a eficácia do Programa, preservando a autonomia da Administração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C99A95" w14:textId="77777777" w:rsidR="000A4184" w:rsidRDefault="000A4184" w:rsidP="000A418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3C3312" w14:textId="77777777" w:rsid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poderá reconhecer formalmente os grupos ativos e oferecer incentivos, como: </w:t>
      </w:r>
    </w:p>
    <w:p w14:paraId="5B803DC9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CF38C9" w14:textId="77777777" w:rsid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C25F05" w14:textId="467A178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laca informativa com o selo de </w:t>
      </w:r>
      <w:r w:rsidR="00E81D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Comunidade Segura - Programa de Vizinhança Solidária</w:t>
      </w:r>
      <w:r w:rsidR="00E81D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bairros que aderirem ao programa; </w:t>
      </w:r>
    </w:p>
    <w:p w14:paraId="6CC42126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poio na instalação de câmeras de monitoramento comunitário integradas com programas de segurança municipal, estadual e federal. </w:t>
      </w:r>
    </w:p>
    <w:p w14:paraId="3B38A2F2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FE660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poderá disponibilizar espaço para encontros entre os grupos de vizinhança solidária, facilitando a cooperação entre sociedade e órgãos de segurança. </w:t>
      </w:r>
    </w:p>
    <w:p w14:paraId="70C596C9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3699C6" w14:textId="77777777" w:rsid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9º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terá como diretriz adotar as seguintes medidas para a efetivação do Programa, tais como:</w:t>
      </w:r>
    </w:p>
    <w:p w14:paraId="34B62B67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ABEC87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esignar um órgão responsável pela coordenação do Programa de Vizinhança Solidária, garantindo suporte técnico e administrativo aos grupos participantes; </w:t>
      </w:r>
    </w:p>
    <w:p w14:paraId="1D9DD647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ncentivar a disponibilização de recursos para divulgação, capacitação e suporte às iniciativas comunitárias; </w:t>
      </w:r>
    </w:p>
    <w:p w14:paraId="4B323676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irmar parcerias com os CONSEG, Polícias Civil e Militar, Guarda Civil Municipal e demais órgãos para otimizar ações de segurança e prevenção; </w:t>
      </w:r>
    </w:p>
    <w:p w14:paraId="60603072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romover campanhas educativas, palestras e eventos para fortalecer a cultura da segurança comunitária; </w:t>
      </w:r>
    </w:p>
    <w:p w14:paraId="652F6E9D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riar um Fundo Municipal de Segurança Comunitária, destinado a apoiar projetos e iniciativas voltadas para a integração entre vizinhos e a segurança pública; </w:t>
      </w:r>
    </w:p>
    <w:p w14:paraId="67B357C5" w14:textId="2DBFAE4A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romover palestras ou treinamento às pessoas de como se portar em caso de uma fiscalização policial, seja nos casos de revista pessoal, fiscalização de trânsito, entre outros</w:t>
      </w:r>
      <w:r w:rsidR="00E81D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são atribuições das forças de segurança do </w:t>
      </w:r>
      <w:r w:rsidR="00E81D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0A41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unicípio.</w:t>
      </w:r>
    </w:p>
    <w:p w14:paraId="663B1F7E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341971" w14:textId="77777777" w:rsidR="000A4184" w:rsidRPr="000A4184" w:rsidRDefault="000A4184" w:rsidP="000A418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revogada a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>º 6.569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2023.</w:t>
      </w:r>
    </w:p>
    <w:p w14:paraId="3AC0B069" w14:textId="77777777" w:rsidR="000A4184" w:rsidRPr="000A4184" w:rsidRDefault="000A4184" w:rsidP="000A41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3C7401" w14:textId="77777777" w:rsidR="000A4184" w:rsidRPr="000A4184" w:rsidRDefault="000A4184" w:rsidP="000A418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41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11.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0A4184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publicação.</w:t>
      </w:r>
    </w:p>
    <w:p w14:paraId="633B0541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6A4585F9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9 de setembro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083188DD" w14:textId="77777777" w:rsidR="00334E57" w:rsidRDefault="00334E57" w:rsidP="000A4184">
      <w:pPr>
        <w:rPr>
          <w:rFonts w:ascii="Times New Roman" w:hAnsi="Times New Roman" w:cs="Times New Roman"/>
          <w:b/>
          <w:sz w:val="24"/>
          <w:szCs w:val="24"/>
        </w:rPr>
      </w:pPr>
    </w:p>
    <w:p w14:paraId="6F5C2CDF" w14:textId="77777777" w:rsidR="000A4184" w:rsidRPr="00414414" w:rsidRDefault="000A4184" w:rsidP="000A4184">
      <w:pPr>
        <w:rPr>
          <w:rFonts w:ascii="Times New Roman" w:hAnsi="Times New Roman" w:cs="Times New Roman"/>
          <w:b/>
          <w:sz w:val="24"/>
          <w:szCs w:val="24"/>
        </w:rPr>
      </w:pPr>
    </w:p>
    <w:p w14:paraId="3E3255C2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2C10B8F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18939147" w14:textId="77777777" w:rsidR="00771287" w:rsidRPr="00771287" w:rsidRDefault="00771287" w:rsidP="000A4184">
      <w:pPr>
        <w:rPr>
          <w:rFonts w:ascii="Times New Roman" w:hAnsi="Times New Roman" w:cs="Times New Roman"/>
          <w:b/>
          <w:sz w:val="24"/>
          <w:szCs w:val="24"/>
        </w:rPr>
      </w:pPr>
    </w:p>
    <w:p w14:paraId="70390C3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57964F07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C62B076" w14:textId="77777777" w:rsidR="00771287" w:rsidRPr="00771287" w:rsidRDefault="00771287" w:rsidP="000A4184">
      <w:pPr>
        <w:rPr>
          <w:rFonts w:ascii="Times New Roman" w:hAnsi="Times New Roman" w:cs="Times New Roman"/>
          <w:b/>
          <w:sz w:val="24"/>
          <w:szCs w:val="24"/>
        </w:rPr>
      </w:pPr>
    </w:p>
    <w:p w14:paraId="31186E71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1151BB2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78548F8" w14:textId="77777777" w:rsidR="00771287" w:rsidRPr="00771287" w:rsidRDefault="00771287" w:rsidP="000A4184">
      <w:pPr>
        <w:rPr>
          <w:rFonts w:ascii="Times New Roman" w:hAnsi="Times New Roman" w:cs="Times New Roman"/>
          <w:b/>
          <w:sz w:val="24"/>
          <w:szCs w:val="24"/>
        </w:rPr>
      </w:pPr>
    </w:p>
    <w:p w14:paraId="1F4D135C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6AEC6BEA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0AF4D26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D380CD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A5144A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AC3D5D8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05EFA021" w14:textId="1403390D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0A4184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4923C7">
        <w:rPr>
          <w:rFonts w:ascii="Times New Roman" w:eastAsia="MS Mincho" w:hAnsi="Times New Roman" w:cs="Times New Roman"/>
          <w:b/>
          <w:sz w:val="20"/>
          <w:szCs w:val="20"/>
        </w:rPr>
        <w:t>62</w:t>
      </w:r>
      <w:r w:rsidR="000A4184">
        <w:rPr>
          <w:rFonts w:ascii="Times New Roman" w:eastAsia="MS Mincho" w:hAnsi="Times New Roman" w:cs="Times New Roman"/>
          <w:b/>
          <w:sz w:val="20"/>
          <w:szCs w:val="20"/>
        </w:rPr>
        <w:t xml:space="preserve">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54DED19A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0A4184">
        <w:rPr>
          <w:rFonts w:ascii="Times New Roman" w:eastAsia="MS Mincho" w:hAnsi="Times New Roman" w:cs="Times New Roman"/>
          <w:b/>
          <w:sz w:val="20"/>
          <w:szCs w:val="20"/>
        </w:rPr>
        <w:t>Vereador Cristiano Gaioto e Outros</w:t>
      </w:r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15C4" w14:textId="77777777" w:rsidR="00956993" w:rsidRDefault="00956993">
      <w:r>
        <w:separator/>
      </w:r>
    </w:p>
  </w:endnote>
  <w:endnote w:type="continuationSeparator" w:id="0">
    <w:p w14:paraId="16922B39" w14:textId="77777777" w:rsidR="00956993" w:rsidRDefault="0095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8CBB" w14:textId="77777777" w:rsidR="00956993" w:rsidRDefault="00956993">
      <w:r>
        <w:separator/>
      </w:r>
    </w:p>
  </w:footnote>
  <w:footnote w:type="continuationSeparator" w:id="0">
    <w:p w14:paraId="6751E8CF" w14:textId="77777777" w:rsidR="00956993" w:rsidRDefault="0095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785B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2EC2708C" wp14:editId="7464695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751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F13D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2194F0A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0FF9F8F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03D1F14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A4184"/>
    <w:rsid w:val="000C712C"/>
    <w:rsid w:val="001915A3"/>
    <w:rsid w:val="00193A1F"/>
    <w:rsid w:val="00207677"/>
    <w:rsid w:val="00217F62"/>
    <w:rsid w:val="00334E57"/>
    <w:rsid w:val="003513F2"/>
    <w:rsid w:val="00364512"/>
    <w:rsid w:val="003F766B"/>
    <w:rsid w:val="00414414"/>
    <w:rsid w:val="00446F00"/>
    <w:rsid w:val="004923C7"/>
    <w:rsid w:val="004F0784"/>
    <w:rsid w:val="00520F7E"/>
    <w:rsid w:val="00594412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903A1"/>
    <w:rsid w:val="008B0A4A"/>
    <w:rsid w:val="00956993"/>
    <w:rsid w:val="009975A1"/>
    <w:rsid w:val="009E75E4"/>
    <w:rsid w:val="00A24DDE"/>
    <w:rsid w:val="00A422CC"/>
    <w:rsid w:val="00A906D8"/>
    <w:rsid w:val="00AB5A74"/>
    <w:rsid w:val="00B40264"/>
    <w:rsid w:val="00BA12A6"/>
    <w:rsid w:val="00C32D95"/>
    <w:rsid w:val="00E43F9F"/>
    <w:rsid w:val="00E752E7"/>
    <w:rsid w:val="00E81DF8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EA67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2025-09-09T17:25:00Z</dcterms:modified>
</cp:coreProperties>
</file>