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17F53E9F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653FB">
        <w:rPr>
          <w:rFonts w:asciiTheme="minorHAnsi" w:hAnsiTheme="minorHAnsi" w:cstheme="minorHAnsi"/>
          <w:b/>
          <w:sz w:val="24"/>
          <w:szCs w:val="24"/>
          <w:u w:val="single"/>
        </w:rPr>
        <w:t xml:space="preserve">145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03930D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artigo</w:t>
      </w:r>
      <w:r w:rsidR="00CF72AA">
        <w:rPr>
          <w:rFonts w:asciiTheme="minorHAnsi" w:hAnsiTheme="minorHAnsi" w:cstheme="minorHAnsi"/>
          <w:sz w:val="24"/>
          <w:szCs w:val="24"/>
        </w:rPr>
        <w:t>s 37 e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39 do Regimento Interno Vigente a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> COMISS</w:t>
      </w:r>
      <w:r w:rsidR="00D95A10">
        <w:rPr>
          <w:rFonts w:asciiTheme="minorHAnsi" w:hAnsiTheme="minorHAnsi" w:cstheme="minorHAnsi"/>
          <w:b/>
          <w:bCs/>
          <w:sz w:val="24"/>
          <w:szCs w:val="24"/>
        </w:rPr>
        <w:t>ÕES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="00CF72AA">
        <w:rPr>
          <w:rFonts w:asciiTheme="minorHAnsi" w:hAnsiTheme="minorHAnsi" w:cstheme="minorHAnsi"/>
          <w:b/>
          <w:bCs/>
          <w:sz w:val="24"/>
          <w:szCs w:val="24"/>
        </w:rPr>
        <w:t xml:space="preserve">E DE FINANÇAS E ORÇAMENTO,  </w:t>
      </w:r>
      <w:r w:rsidR="00CF72AA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4F6522">
        <w:rPr>
          <w:rFonts w:asciiTheme="minorHAnsi" w:hAnsiTheme="minorHAnsi" w:cstheme="minorHAnsi"/>
          <w:sz w:val="24"/>
          <w:szCs w:val="24"/>
        </w:rPr>
        <w:t xml:space="preserve">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</w:t>
      </w:r>
      <w:r w:rsidR="000C06AE">
        <w:rPr>
          <w:rFonts w:asciiTheme="minorHAnsi" w:hAnsiTheme="minorHAnsi" w:cstheme="minorHAnsi"/>
          <w:sz w:val="24"/>
          <w:szCs w:val="24"/>
        </w:rPr>
        <w:t xml:space="preserve"> 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nº </w:t>
      </w:r>
      <w:r w:rsidR="00E653FB">
        <w:rPr>
          <w:rFonts w:asciiTheme="minorHAnsi" w:hAnsiTheme="minorHAnsi" w:cstheme="minorHAnsi"/>
          <w:sz w:val="24"/>
          <w:szCs w:val="24"/>
        </w:rPr>
        <w:t xml:space="preserve">100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0C06AE">
        <w:rPr>
          <w:rFonts w:asciiTheme="minorHAnsi" w:hAnsiTheme="minorHAnsi" w:cstheme="minorHAnsi"/>
          <w:sz w:val="24"/>
          <w:szCs w:val="24"/>
        </w:rPr>
        <w:t>o Senhor Prefeito Municipal Paulo de Oliveira e Silva,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5FE0C1F3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ei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nº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05D31">
        <w:rPr>
          <w:rFonts w:asciiTheme="minorHAnsi" w:hAnsiTheme="minorHAnsi" w:cstheme="minorHAnsi"/>
          <w:color w:val="000000"/>
          <w:sz w:val="24"/>
          <w:szCs w:val="24"/>
        </w:rPr>
        <w:t>100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2025 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que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05D31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F05D31" w:rsidR="00F05D31">
        <w:rPr>
          <w:rFonts w:asciiTheme="minorHAnsi" w:hAnsiTheme="minorHAnsi" w:cstheme="minorHAnsi"/>
          <w:color w:val="000000"/>
          <w:sz w:val="24"/>
          <w:szCs w:val="24"/>
        </w:rPr>
        <w:t>AUTORIZA O SERVIÇO AUTÔNOMO DE ÁGUA E ESGOTOS DE MOGI MIRIM (SAAE) A FORMALIZAR TERMO DE COOPERAÇÃO TÉCNICA COM A ASSOCIAÇÃO EDUCACIONAL E ASSITENCIAL SANTA LÚCIA, PARA O FIM QUE ESPECIFICA</w:t>
      </w:r>
      <w:r w:rsidR="00F05D31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F05D31" w:rsidR="00F05D3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F05D31" w:rsidRPr="00F05D31" w:rsidP="00F05D31" w14:paraId="76465B8D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5D31">
        <w:rPr>
          <w:rFonts w:asciiTheme="minorHAnsi" w:hAnsiTheme="minorHAnsi" w:cstheme="minorHAnsi"/>
          <w:color w:val="000000"/>
          <w:sz w:val="24"/>
          <w:szCs w:val="24"/>
        </w:rPr>
        <w:t>O presente Projeto de Lei tem por finalidade autorizar o Serviço Autônomo de Água e Esgotos de Mogi Mirim (SAAE) a celebrar Termo de Cooperação Técnica com a Associação Educacional e Assistencial Santa Lúcia, entidade sem fins lucrativos, visando a realização de atividades de extensão universitária e de estágios não remunerados.</w:t>
      </w:r>
    </w:p>
    <w:p w:rsidR="00F05D31" w:rsidRPr="00F05D31" w:rsidP="00F05D31" w14:paraId="04332D35" w14:textId="1E3FDEB1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5D31">
        <w:rPr>
          <w:rFonts w:asciiTheme="minorHAnsi" w:hAnsiTheme="minorHAnsi" w:cstheme="minorHAnsi"/>
          <w:color w:val="000000"/>
          <w:sz w:val="24"/>
          <w:szCs w:val="24"/>
        </w:rPr>
        <w:t xml:space="preserve">A parceria proposta tem como escopo principal a atuação de estudantes dos cursos de Psicologia em atividades práticas supervisionadas, sob a orientação de docentes habilitados, no âmbito das ações socioassistenciais e comunitárias desenvolvidas pelo SAAE, em especial aquelas voltadas ao atendimento e acompanhamento psicossocial de servidores e </w:t>
      </w:r>
      <w:r w:rsidRPr="00D95A10">
        <w:rPr>
          <w:rFonts w:asciiTheme="minorHAnsi" w:hAnsiTheme="minorHAnsi" w:cstheme="minorHAnsi"/>
          <w:color w:val="000000"/>
          <w:sz w:val="24"/>
          <w:szCs w:val="24"/>
        </w:rPr>
        <w:t xml:space="preserve"> seus respectivos  familiares  da </w:t>
      </w:r>
      <w:r w:rsidRPr="00F05D31">
        <w:rPr>
          <w:rFonts w:asciiTheme="minorHAnsi" w:hAnsiTheme="minorHAnsi" w:cstheme="minorHAnsi"/>
          <w:color w:val="000000"/>
          <w:sz w:val="24"/>
          <w:szCs w:val="24"/>
        </w:rPr>
        <w:t xml:space="preserve"> autarquia.</w:t>
      </w:r>
    </w:p>
    <w:p w:rsidR="00F05D31" w:rsidRPr="00F05D31" w:rsidP="00F05D31" w14:paraId="3A59FCD5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5D31">
        <w:rPr>
          <w:rFonts w:asciiTheme="minorHAnsi" w:hAnsiTheme="minorHAnsi" w:cstheme="minorHAnsi"/>
          <w:color w:val="000000"/>
          <w:sz w:val="24"/>
          <w:szCs w:val="24"/>
        </w:rPr>
        <w:t>Trata-se de iniciativa de relevante interesse público, uma vez que proporciona benefícios mútuos: por um lado, permite aos estudantes o desenvolvimento de competências profissionais por meio da vivência prática em campo; por outro, contribui para a promoção de saúde mental, bem-estar e inclusão social nas ações desempenhadas pelo SAAE.</w:t>
      </w:r>
    </w:p>
    <w:p w:rsidR="00F05D31" w:rsidRPr="00F05D31" w:rsidP="00F05D31" w14:paraId="29454229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5D31">
        <w:rPr>
          <w:rFonts w:asciiTheme="minorHAnsi" w:hAnsiTheme="minorHAnsi" w:cstheme="minorHAnsi"/>
          <w:color w:val="000000"/>
          <w:sz w:val="24"/>
          <w:szCs w:val="24"/>
        </w:rPr>
        <w:t>Importante ressaltar que o Termo de Cooperação Técnica não envolve repasse de recursos financeiros entre as partes, tratando-se de instrumento de apoio institucional e pedagógico, com base no princípio da cooperação entre órgãos e entidades públicas e privadas sem fins lucrativos, conforme previsto na legislação vigente.</w:t>
      </w:r>
    </w:p>
    <w:p w:rsidR="00D95A10" w:rsidP="00B87BE2" w14:paraId="2C40A7F2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05D31" w:rsidP="00D95A10" w14:paraId="3C9D1085" w14:textId="4D281CA2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05D31">
        <w:rPr>
          <w:rFonts w:asciiTheme="minorHAnsi" w:hAnsiTheme="minorHAnsi" w:cstheme="minorHAnsi"/>
          <w:color w:val="000000"/>
          <w:sz w:val="24"/>
          <w:szCs w:val="24"/>
        </w:rPr>
        <w:t>Assim</w:t>
      </w:r>
      <w:r w:rsidR="00D95A10">
        <w:rPr>
          <w:rFonts w:asciiTheme="minorHAnsi" w:hAnsiTheme="minorHAnsi" w:cstheme="minorHAnsi"/>
          <w:color w:val="000000"/>
          <w:sz w:val="24"/>
          <w:szCs w:val="24"/>
        </w:rPr>
        <w:t xml:space="preserve">  o </w:t>
      </w:r>
      <w:r w:rsidRPr="00F05D31">
        <w:rPr>
          <w:rFonts w:asciiTheme="minorHAnsi" w:hAnsiTheme="minorHAnsi" w:cstheme="minorHAnsi"/>
          <w:color w:val="000000"/>
          <w:sz w:val="24"/>
          <w:szCs w:val="24"/>
        </w:rPr>
        <w:t>Projeto de Lei ora apresentado tem como objetivo formalizar a autorização legislativa necessária para que o SAAE possa celebrar a referida cooperação técnica, respeitando os princípios da legalidade, economicidade e interesse social.</w:t>
      </w:r>
    </w:p>
    <w:p w:rsidR="00D95A10" w:rsidRPr="00D95A10" w:rsidP="00B87BE2" w14:paraId="0E8379AE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05D31" w:rsidP="001C6BDB" w14:paraId="6E6AB70C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D95A10" w:rsidP="001C6BDB" w14:paraId="0E26A424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95A10" w:rsidP="001C6BDB" w14:paraId="2213D9B7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B87BE2" w:rsidRPr="00B87BE2" w:rsidP="00D95A10" w14:paraId="04363BAF" w14:textId="3531BA9B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87BE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propositura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87BE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em análise tem por objetivo conceder autorização legislativa para que o Serviço Autônomo de Água e Esgotos de Mogi Mirim (SAAE) celebre Termo de Cooperação Técnica com a Associação Educacional e Assistencial Santa Lúcia, possibilitando a realização de atividades de extensão universitária e estágios não remunerados, supervisionados por docentes dos cursos de Psicologia.</w:t>
      </w:r>
    </w:p>
    <w:p w:rsidR="00B87BE2" w:rsidRPr="00B87BE2" w:rsidP="00D95A10" w14:paraId="2F9C6831" w14:textId="3FE8F69C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87BE2">
        <w:rPr>
          <w:rFonts w:asciiTheme="minorHAnsi" w:hAnsiTheme="minorHAnsi" w:cstheme="minorHAnsi"/>
          <w:bCs/>
          <w:color w:val="000000"/>
          <w:sz w:val="24"/>
          <w:szCs w:val="24"/>
        </w:rPr>
        <w:t>No mérito, a proposta se mostra pertinente e meritória, uma vez que fomenta a integração entre o setor público e instituições de ensino, promovendo benefícios mútuos. Por meio da cooperação, os estudantes de Psicologia terão a oportunidade de aplicar os conhecimentos teóricos adquiridos em sala de aula na prática profissional, contribuindo com atividades de cunho social e psicossocial voltadas   aos servidores da autarquia.</w:t>
      </w:r>
    </w:p>
    <w:p w:rsidR="00B87BE2" w:rsidRPr="00B87BE2" w:rsidP="00D95A10" w14:paraId="1E55DB72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87BE2">
        <w:rPr>
          <w:rFonts w:asciiTheme="minorHAnsi" w:hAnsiTheme="minorHAnsi" w:cstheme="minorHAnsi"/>
          <w:bCs/>
          <w:color w:val="000000"/>
          <w:sz w:val="24"/>
          <w:szCs w:val="24"/>
        </w:rPr>
        <w:t>Do ponto de vista administrativo, a medida não acarreta custos adicionais ao erário, uma vez que os estágios previstos são de caráter não remunerado, sendo organizados em conformidade com as diretrizes da Lei Federal nº 11.788/2008 (Lei do Estágio) e demais normas pertinentes.</w:t>
      </w:r>
    </w:p>
    <w:p w:rsidR="00B87BE2" w:rsidRPr="00B87BE2" w:rsidP="00D95A10" w14:paraId="5ED06E5E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87BE2">
        <w:rPr>
          <w:rFonts w:asciiTheme="minorHAnsi" w:hAnsiTheme="minorHAnsi" w:cstheme="minorHAnsi"/>
          <w:bCs/>
          <w:color w:val="000000"/>
          <w:sz w:val="24"/>
          <w:szCs w:val="24"/>
        </w:rPr>
        <w:t>Além disso, o Termo de Cooperação Técnica está em consonância com o princípio da eficiência administrativa, uma vez que fortalece a atuação do SAAE em projetos com impacto social e comunitário, especialmente nas áreas de saúde mental, qualidade de vida e responsabilidade institucional.</w:t>
      </w:r>
    </w:p>
    <w:p w:rsidR="00B87BE2" w:rsidRPr="00B87BE2" w:rsidP="00D95A10" w14:paraId="59ECFA16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87BE2">
        <w:rPr>
          <w:rFonts w:asciiTheme="minorHAnsi" w:hAnsiTheme="minorHAnsi" w:cstheme="minorHAnsi"/>
          <w:bCs/>
          <w:color w:val="000000"/>
          <w:sz w:val="24"/>
          <w:szCs w:val="24"/>
        </w:rPr>
        <w:t>Diante do exposto, este Relator manifesta-se favorável à aprovação do Projeto de Lei, por reconhecer sua legalidade, conveniência administrativa e relevância social</w:t>
      </w:r>
      <w:r w:rsidRPr="00B87BE2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:rsidR="00F05D31" w:rsidP="001C6BDB" w14:paraId="23732AB9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D6D39" w:rsidP="001C6BDB" w14:paraId="3D9B2923" w14:textId="0EFD38A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</w:p>
    <w:p w:rsidR="00B87BE2" w:rsidP="001C6BDB" w14:paraId="2F1791CC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05D31" w14:paraId="7E0A8405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4F6522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B87BE2" w:rsidRPr="00F05D31" w:rsidP="00B87BE2" w14:paraId="6D7E273D" w14:textId="4547761C">
      <w:pPr>
        <w:pStyle w:val="BodyText"/>
        <w:shd w:val="clear" w:color="auto" w:fill="FFFFFF"/>
        <w:spacing w:before="240" w:after="0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 Complementar de autoria do Executivo.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F77D8F" w:rsidRPr="004F6522" w14:paraId="7CD8BD73" w14:textId="1BB4389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69DBA570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EBA56B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1C7AC2A9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58E6380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C183F42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52C701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73C5E1ED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D016A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17EE9E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FAD068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EF88B8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7273A7D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9E65454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1AFBF79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513BBA7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69B5DD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RPr="004F6522" w:rsidP="001A7AAC" w14:paraId="040873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71AF74CB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100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DO SENHOR PREFEITO MUNICIPAL DR. PULO DE OLIVEIRA E SILVA.</w:t>
      </w:r>
    </w:p>
    <w:p w:rsidR="00B87BE2" w14:paraId="40E9D465" w14:textId="5BEF151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em comprimento ao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artigo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37 e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39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Interno Vigente,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os membros da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 comissões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de Finanças e Orçamento</w:t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no P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em análise.</w:t>
      </w:r>
    </w:p>
    <w:p w:rsidR="00F77D8F" w:rsidRPr="004F6522" w:rsidP="004F6522" w14:paraId="2A56D8F5" w14:textId="2E0133CD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importante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em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beneficio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B87BE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dos funcionários  da Autarquia e seus familiares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, demonstrando que os Poderes Legislativo e Executivo estão alinhados em prol do bem-estar</w:t>
      </w:r>
      <w:r w:rsidR="008701E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todos.</w:t>
      </w:r>
    </w:p>
    <w:p w:rsidR="004F6522" w:rsidRPr="00D95A10" w:rsidP="004F6522" w14:paraId="653BC6FE" w14:textId="74B6EAFC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>Portanto, estas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Comissões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8701ED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Parecer FAVORÁVEL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F77D8F" w:rsidRPr="00155C4E" w14:paraId="29CEB1D4" w14:textId="3CC84A26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B87BE2">
        <w:rPr>
          <w:rFonts w:asciiTheme="minorHAnsi" w:hAnsiTheme="minorHAnsi" w:cstheme="minorHAnsi"/>
          <w:b/>
          <w:iCs/>
          <w:sz w:val="24"/>
          <w:szCs w:val="24"/>
        </w:rPr>
        <w:t xml:space="preserve">09 de setembro </w:t>
      </w:r>
      <w:r w:rsidRPr="00155C4E" w:rsidR="008701ED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155C4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:rsidRPr="00155C4E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Gragnanello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B87BE2" w:rsidRPr="00155C4E" w:rsidP="00B87BE2" w14:paraId="23DCD07D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Everton Bombarda </w:t>
      </w:r>
    </w:p>
    <w:p w:rsidR="00B87BE2" w:rsidRPr="00155C4E" w:rsidP="00FD3DDE" w14:paraId="7C5A47C9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FD3DDE" w:rsidP="00FD6348" w14:paraId="56901C91" w14:textId="57B5D41D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> </w:t>
      </w:r>
      <w:r w:rsidRPr="00155C4E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="00B87BE2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B87BE2" w:rsidR="00B87BE2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155C4E" w:rsidR="00B87BE2">
        <w:rPr>
          <w:rFonts w:asciiTheme="minorHAnsi" w:hAnsiTheme="minorHAnsi" w:cstheme="minorHAnsi"/>
          <w:bCs/>
          <w:iCs/>
          <w:sz w:val="24"/>
          <w:szCs w:val="24"/>
        </w:rPr>
        <w:t>Relator</w:t>
      </w:r>
    </w:p>
    <w:p w:rsidR="00B87BE2" w:rsidP="00FD6348" w14:paraId="7AAAA2D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B87BE2" w:rsidP="00FD6348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87BE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P="00FD6348" w14:paraId="4F5D9DEA" w14:textId="0C050C6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 Membro</w:t>
      </w:r>
    </w:p>
    <w:p w:rsidR="00155C4E" w:rsidRPr="00155C4E" w:rsidP="00D95A10" w14:paraId="5F24F416" w14:textId="77777777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155C4E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155C4E" w:rsidP="00155C4E" w14:paraId="5B0038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155C4E" w:rsidP="00155C4E" w14:paraId="32717C3E" w14:textId="77777777">
      <w:pPr>
        <w:jc w:val="center"/>
        <w:rPr>
          <w:sz w:val="24"/>
          <w:szCs w:val="24"/>
        </w:rPr>
      </w:pPr>
    </w:p>
    <w:p w:rsidR="00155C4E" w:rsidRPr="00155C4E" w:rsidP="00155C4E" w14:paraId="46B8365B" w14:textId="77777777">
      <w:pPr>
        <w:jc w:val="center"/>
        <w:rPr>
          <w:sz w:val="24"/>
          <w:szCs w:val="24"/>
        </w:rPr>
      </w:pPr>
    </w:p>
    <w:p w:rsidR="00155C4E" w:rsidRPr="00155C4E" w:rsidP="00155C4E" w14:paraId="240A271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P="00155C4E" w14:paraId="348B4626" w14:textId="4057578E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Presidente </w:t>
      </w:r>
    </w:p>
    <w:p w:rsidR="00436CE9" w:rsidRPr="00436CE9" w:rsidP="00155C4E" w14:paraId="3A9CCB5D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155C4E" w:rsidRPr="00155C4E" w:rsidP="00155C4E" w14:paraId="5E0EE5A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P="00155C4E" w14:paraId="7C8C8324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Vice-Presidente</w:t>
      </w:r>
    </w:p>
    <w:p w:rsidR="00436CE9" w:rsidRPr="00436CE9" w:rsidP="00155C4E" w14:paraId="266BB96F" w14:textId="77777777">
      <w:pPr>
        <w:jc w:val="center"/>
        <w:rPr>
          <w:sz w:val="24"/>
          <w:szCs w:val="24"/>
        </w:rPr>
      </w:pPr>
    </w:p>
    <w:p w:rsidR="00155C4E" w:rsidRPr="00155C4E" w:rsidP="00155C4E" w14:paraId="358FEF9E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P="00155C4E" w14:paraId="6DE85DD5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C06AE"/>
    <w:rsid w:val="000D3816"/>
    <w:rsid w:val="00123342"/>
    <w:rsid w:val="00124F15"/>
    <w:rsid w:val="00155C4E"/>
    <w:rsid w:val="00183A77"/>
    <w:rsid w:val="001A3B99"/>
    <w:rsid w:val="001A632E"/>
    <w:rsid w:val="001A7AAC"/>
    <w:rsid w:val="001C6BDB"/>
    <w:rsid w:val="003A1EBE"/>
    <w:rsid w:val="003C0C62"/>
    <w:rsid w:val="00436CE9"/>
    <w:rsid w:val="004A7278"/>
    <w:rsid w:val="004F6522"/>
    <w:rsid w:val="0050538D"/>
    <w:rsid w:val="0052504F"/>
    <w:rsid w:val="006F3958"/>
    <w:rsid w:val="007B08F9"/>
    <w:rsid w:val="008649A4"/>
    <w:rsid w:val="008701ED"/>
    <w:rsid w:val="008B5026"/>
    <w:rsid w:val="009308EF"/>
    <w:rsid w:val="00AC288F"/>
    <w:rsid w:val="00B87BE2"/>
    <w:rsid w:val="00C35BA4"/>
    <w:rsid w:val="00CD6D39"/>
    <w:rsid w:val="00CF72AA"/>
    <w:rsid w:val="00D25ED1"/>
    <w:rsid w:val="00D304E3"/>
    <w:rsid w:val="00D95A10"/>
    <w:rsid w:val="00DE21B3"/>
    <w:rsid w:val="00E653FB"/>
    <w:rsid w:val="00EB3B08"/>
    <w:rsid w:val="00F05D31"/>
    <w:rsid w:val="00F77D8F"/>
    <w:rsid w:val="00FD3DDE"/>
    <w:rsid w:val="00FD6348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2025-09-09T17:38:00Z</dcterms:created>
  <dcterms:modified xsi:type="dcterms:W3CDTF">2025-09-09T17:38:00Z</dcterms:modified>
  <dc:language>pt-BR</dc:language>
</cp:coreProperties>
</file>