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CB631F" w:rsidP="003D6D21" w14:paraId="1E2E0C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322469" w:rsidRPr="00331AD2" w:rsidP="00331AD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31AD2">
        <w:rPr>
          <w:b/>
          <w:color w:val="000000" w:themeColor="text1"/>
          <w:sz w:val="24"/>
          <w:szCs w:val="24"/>
        </w:rPr>
        <w:t>RELATÓRIO</w:t>
      </w:r>
    </w:p>
    <w:p w:rsidR="00CB631F" w:rsidRPr="00331AD2" w:rsidP="00331AD2" w14:paraId="27E1D8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331AD2" w:rsidP="00331AD2" w14:paraId="052508B3" w14:textId="33CBC7B6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331AD2">
        <w:rPr>
          <w:rStyle w:val="Strong"/>
          <w:color w:val="000000" w:themeColor="text1"/>
        </w:rPr>
        <w:t>PRO</w:t>
      </w:r>
      <w:r w:rsidRPr="00331AD2" w:rsidR="00BA6C13">
        <w:rPr>
          <w:rStyle w:val="Strong"/>
          <w:color w:val="000000" w:themeColor="text1"/>
        </w:rPr>
        <w:t xml:space="preserve">JETO DE </w:t>
      </w:r>
      <w:r w:rsidRPr="00331AD2" w:rsidR="00FB2327">
        <w:rPr>
          <w:rStyle w:val="Strong"/>
          <w:color w:val="000000" w:themeColor="text1"/>
        </w:rPr>
        <w:t>LEI</w:t>
      </w:r>
      <w:r w:rsidRPr="00331AD2" w:rsidR="00EA3CD8">
        <w:rPr>
          <w:rStyle w:val="Strong"/>
          <w:color w:val="000000" w:themeColor="text1"/>
        </w:rPr>
        <w:t xml:space="preserve"> Nº 95</w:t>
      </w:r>
      <w:r w:rsidRPr="00331AD2" w:rsidR="00F74441">
        <w:rPr>
          <w:rStyle w:val="Strong"/>
          <w:color w:val="000000" w:themeColor="text1"/>
        </w:rPr>
        <w:t xml:space="preserve"> DE 2025</w:t>
      </w:r>
    </w:p>
    <w:p w:rsidR="00F74441" w:rsidRPr="00331AD2" w:rsidP="00331AD2" w14:paraId="4DE9CBF8" w14:textId="5D733B1E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331AD2">
        <w:rPr>
          <w:rStyle w:val="Emphasis"/>
          <w:color w:val="000000" w:themeColor="text1"/>
        </w:rPr>
        <w:t>“DISPÕE SOBRE A INST</w:t>
      </w:r>
      <w:r w:rsidRPr="00331AD2" w:rsidR="00EA3CD8">
        <w:rPr>
          <w:rStyle w:val="Emphasis"/>
          <w:color w:val="000000" w:themeColor="text1"/>
        </w:rPr>
        <w:t xml:space="preserve">ITUIÇÃO DO PROGRAMA MUNICIPAL DE COLETA E DESTINAÇÃO ADEQUADA DE ÓLEOS E GORDURAS DE ORIGEM VEGETAL OU ANIMAL NO MUNICÍPIO DE MOGI MIRIM </w:t>
      </w:r>
      <w:r w:rsidRPr="00331AD2">
        <w:rPr>
          <w:rStyle w:val="Emphasis"/>
          <w:color w:val="000000" w:themeColor="text1"/>
        </w:rPr>
        <w:t>E DÁ OUTRAS PROVIDÊNCIAS”</w:t>
      </w:r>
      <w:r w:rsidRPr="00331AD2" w:rsidR="00FB2327">
        <w:rPr>
          <w:rStyle w:val="Emphasis"/>
          <w:color w:val="000000" w:themeColor="text1"/>
        </w:rPr>
        <w:t>.</w:t>
      </w:r>
    </w:p>
    <w:p w:rsidR="00CB631F" w:rsidRPr="00331AD2" w:rsidP="00331AD2" w14:paraId="6098959F" w14:textId="77777777">
      <w:pPr>
        <w:pStyle w:val="NormalWeb"/>
        <w:spacing w:line="360" w:lineRule="auto"/>
        <w:rPr>
          <w:color w:val="000000" w:themeColor="text1"/>
        </w:rPr>
      </w:pPr>
      <w:r w:rsidRPr="00331AD2">
        <w:rPr>
          <w:rStyle w:val="Strong"/>
          <w:color w:val="000000" w:themeColor="text1"/>
        </w:rPr>
        <w:t xml:space="preserve">RELATOR: VEREADOR </w:t>
      </w:r>
      <w:r w:rsidRPr="00331AD2" w:rsidR="006F3969">
        <w:rPr>
          <w:rStyle w:val="Strong"/>
          <w:color w:val="000000" w:themeColor="text1"/>
        </w:rPr>
        <w:t>MANOEL EDUARDO PEREIRA DA CRUZ PALOMINO</w:t>
      </w:r>
    </w:p>
    <w:p w:rsidR="00F74441" w:rsidRPr="00331AD2" w:rsidP="00331AD2" w14:paraId="255CBB13" w14:textId="58B0EC6C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331AD2" w:rsidP="00331AD2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331AD2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B631F" w:rsidRPr="00331AD2" w:rsidP="00331AD2" w14:paraId="549C454F" w14:textId="77777777">
      <w:pPr>
        <w:spacing w:line="360" w:lineRule="auto"/>
        <w:rPr>
          <w:sz w:val="24"/>
          <w:szCs w:val="24"/>
        </w:rPr>
      </w:pPr>
    </w:p>
    <w:p w:rsidR="00EA3CD8" w:rsidRPr="00331AD2" w:rsidP="00331AD2" w14:paraId="6AD85BA7" w14:textId="2EC3A1E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331AD2">
        <w:rPr>
          <w:color w:val="000000" w:themeColor="text1"/>
          <w:sz w:val="24"/>
          <w:szCs w:val="24"/>
        </w:rPr>
        <w:tab/>
      </w:r>
      <w:r w:rsidRPr="00331AD2" w:rsidR="00FB2327">
        <w:rPr>
          <w:sz w:val="24"/>
          <w:szCs w:val="24"/>
        </w:rPr>
        <w:t xml:space="preserve">O </w:t>
      </w:r>
      <w:r w:rsidRPr="00331AD2">
        <w:rPr>
          <w:b/>
          <w:sz w:val="24"/>
          <w:szCs w:val="24"/>
        </w:rPr>
        <w:t>Projeto de Lei nº 95/2025</w:t>
      </w:r>
      <w:r w:rsidRPr="00331AD2" w:rsidR="004E3A21">
        <w:rPr>
          <w:b/>
          <w:sz w:val="24"/>
          <w:szCs w:val="24"/>
        </w:rPr>
        <w:t>,</w:t>
      </w:r>
      <w:r w:rsidRPr="00331AD2" w:rsidR="004E3A21">
        <w:rPr>
          <w:sz w:val="24"/>
          <w:szCs w:val="24"/>
        </w:rPr>
        <w:t xml:space="preserve"> de autoria d</w:t>
      </w:r>
      <w:r w:rsidRPr="00331AD2">
        <w:rPr>
          <w:sz w:val="24"/>
          <w:szCs w:val="24"/>
        </w:rPr>
        <w:t>o</w:t>
      </w:r>
      <w:r w:rsidRPr="00331AD2" w:rsidR="004E3A21">
        <w:rPr>
          <w:sz w:val="24"/>
          <w:szCs w:val="24"/>
        </w:rPr>
        <w:t xml:space="preserve"> Vereador</w:t>
      </w:r>
      <w:r w:rsidRPr="00331AD2">
        <w:rPr>
          <w:sz w:val="24"/>
          <w:szCs w:val="24"/>
        </w:rPr>
        <w:t xml:space="preserve"> Luiz Fernando Saviano</w:t>
      </w:r>
      <w:r w:rsidRPr="00331AD2" w:rsidR="00B00B0F">
        <w:rPr>
          <w:sz w:val="24"/>
          <w:szCs w:val="24"/>
        </w:rPr>
        <w:t>,</w:t>
      </w:r>
      <w:r w:rsidRPr="00331AD2" w:rsidR="00B00B0F">
        <w:rPr>
          <w:rStyle w:val="titulo-principal"/>
          <w:sz w:val="24"/>
          <w:szCs w:val="24"/>
        </w:rPr>
        <w:t xml:space="preserve"> </w:t>
      </w:r>
      <w:r w:rsidRPr="00331AD2">
        <w:rPr>
          <w:rStyle w:val="titulo-principal"/>
          <w:sz w:val="24"/>
          <w:szCs w:val="24"/>
        </w:rPr>
        <w:t>tem por escopo</w:t>
      </w:r>
      <w:r w:rsidRPr="00331AD2">
        <w:rPr>
          <w:sz w:val="24"/>
          <w:szCs w:val="24"/>
        </w:rPr>
        <w:t xml:space="preserve"> instituir o “</w:t>
      </w:r>
      <w:r w:rsidRPr="00331AD2">
        <w:rPr>
          <w:b/>
          <w:sz w:val="24"/>
          <w:szCs w:val="24"/>
        </w:rPr>
        <w:t>Programa Municipal de Coleta e Destinação Adequada de Óleos e Gorduras de Origem Vegetal ou Animal” no Município de Mogi Mirim.</w:t>
      </w:r>
    </w:p>
    <w:p w:rsidR="00EA3CD8" w:rsidRPr="00331AD2" w:rsidP="00331AD2" w14:paraId="3E126D74" w14:textId="77777777">
      <w:pPr>
        <w:pStyle w:val="NormalWeb"/>
        <w:spacing w:line="360" w:lineRule="auto"/>
        <w:jc w:val="both"/>
      </w:pPr>
      <w:r w:rsidRPr="00331AD2">
        <w:t>A proposição contempla, em linhas gerais:</w:t>
      </w:r>
    </w:p>
    <w:p w:rsidR="00EA3CD8" w:rsidRPr="00331AD2" w:rsidP="00331AD2" w14:paraId="63FDCA7D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Escopo de resíduos abrangidos:</w:t>
      </w:r>
      <w:r w:rsidRPr="00331AD2">
        <w:t xml:space="preserve"> óleos e gorduras vegetais e animais, bem como materiais contaminados.</w:t>
      </w:r>
    </w:p>
    <w:p w:rsidR="00EA3CD8" w:rsidRPr="00331AD2" w:rsidP="00331AD2" w14:paraId="1A4E04F7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Objetivos e diretrizes:</w:t>
      </w:r>
      <w:r w:rsidRPr="00331AD2">
        <w:t xml:space="preserve"> redução do descarte indevido, proteção de recursos hídricos, fomento à reciclagem e estímulo à economia circular.</w:t>
      </w:r>
    </w:p>
    <w:p w:rsidR="00EA3CD8" w:rsidRPr="00331AD2" w:rsidP="00331AD2" w14:paraId="3E212C41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Deveres dos geradores:</w:t>
      </w:r>
      <w:r w:rsidRPr="00331AD2">
        <w:t xml:space="preserve"> obrigações específicas para residências e estabelecimentos que utilizam óleo e gordura.</w:t>
      </w:r>
    </w:p>
    <w:p w:rsidR="00EA3CD8" w:rsidRPr="00331AD2" w:rsidP="00331AD2" w14:paraId="19ABA01E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Ações do Poder Executivo:</w:t>
      </w:r>
      <w:r w:rsidRPr="00331AD2">
        <w:t xml:space="preserve"> instalação e manutenção de PEVs, celebração de convênios, campanhas educativas, criação de plataforma digital, apoio a cooperativas e parceria com o SAAE — inclusive com a indicação expressa da URR como PEV oficial.</w:t>
      </w:r>
    </w:p>
    <w:p w:rsidR="00EA3CD8" w:rsidRPr="00331AD2" w:rsidP="00331AD2" w14:paraId="682A64F4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Transparência:</w:t>
      </w:r>
      <w:r w:rsidRPr="00331AD2">
        <w:t xml:space="preserve"> mecanismos de divulgação das ações do Programa.</w:t>
      </w:r>
    </w:p>
    <w:p w:rsidR="00EA3CD8" w:rsidRPr="00331AD2" w:rsidP="00331AD2" w14:paraId="3D6FDE79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Fiscalização e penalidades:</w:t>
      </w:r>
      <w:r w:rsidRPr="00331AD2">
        <w:t xml:space="preserve"> previsão de advertência, multa (de R$ 500,00 a R$ 2.000,00) e cassação de alvará em caso de reincidência grave.</w:t>
      </w:r>
    </w:p>
    <w:p w:rsidR="00EA3CD8" w:rsidRPr="00331AD2" w:rsidP="00331AD2" w14:paraId="07B6AF23" w14:textId="77777777">
      <w:pPr>
        <w:pStyle w:val="NormalWeb"/>
        <w:numPr>
          <w:ilvl w:val="0"/>
          <w:numId w:val="16"/>
        </w:numPr>
        <w:spacing w:line="360" w:lineRule="auto"/>
        <w:jc w:val="both"/>
      </w:pPr>
      <w:r w:rsidRPr="00331AD2">
        <w:rPr>
          <w:rStyle w:val="Strong"/>
        </w:rPr>
        <w:t>Disposições finais:</w:t>
      </w:r>
      <w:r w:rsidRPr="00331AD2">
        <w:t xml:space="preserve"> regulamentação no prazo de 90 dias, adequação em 180 dias e vigência imediata.</w:t>
      </w:r>
    </w:p>
    <w:p w:rsidR="00EA3CD8" w:rsidRPr="00331AD2" w:rsidP="00331AD2" w14:paraId="066989C4" w14:textId="297A84B3">
      <w:pPr>
        <w:pStyle w:val="NormalWeb"/>
        <w:spacing w:line="360" w:lineRule="auto"/>
        <w:jc w:val="both"/>
      </w:pPr>
      <w:r w:rsidRPr="00331AD2">
        <w:t xml:space="preserve">A </w:t>
      </w:r>
      <w:r w:rsidRPr="00331AD2">
        <w:rPr>
          <w:rStyle w:val="Strong"/>
        </w:rPr>
        <w:t>Consultoria Legislativa (SGP)</w:t>
      </w:r>
      <w:r w:rsidRPr="00331AD2">
        <w:t>, no Parecer nº 0462/2025</w:t>
      </w:r>
      <w:r w:rsidR="009064E3">
        <w:t>/MN/G/DDR</w:t>
      </w:r>
      <w:r w:rsidRPr="00331AD2">
        <w:t>, de 18/08/2025, manifestou-se pela constitucionalidade da matéria, ao reconhecer a competência municipal supletiva em temas ambientais (CF, arts. 23, VI; 24, VI; 30, I e II; e 225). Destacou, inclusive, precedentes do TJSP validando leis municipais análogas (Regente Feijó, Jundiaí e Suzano).</w:t>
      </w:r>
    </w:p>
    <w:p w:rsidR="00EA3CD8" w:rsidRPr="00331AD2" w:rsidP="00331AD2" w14:paraId="19D6D296" w14:textId="77777777">
      <w:pPr>
        <w:pStyle w:val="NormalWeb"/>
        <w:spacing w:line="360" w:lineRule="auto"/>
        <w:jc w:val="both"/>
      </w:pPr>
      <w:r w:rsidRPr="00331AD2">
        <w:t>Contudo, a SGP apontou:</w:t>
      </w:r>
    </w:p>
    <w:p w:rsidR="00EA3CD8" w:rsidRPr="00331AD2" w:rsidP="00331AD2" w14:paraId="615988AD" w14:textId="77777777">
      <w:pPr>
        <w:pStyle w:val="NormalWeb"/>
        <w:numPr>
          <w:ilvl w:val="0"/>
          <w:numId w:val="17"/>
        </w:numPr>
        <w:spacing w:line="360" w:lineRule="auto"/>
        <w:jc w:val="both"/>
      </w:pPr>
      <w:r w:rsidRPr="00331AD2">
        <w:rPr>
          <w:rStyle w:val="Strong"/>
        </w:rPr>
        <w:t>vício potencial</w:t>
      </w:r>
      <w:r w:rsidRPr="00331AD2">
        <w:t xml:space="preserve"> nos arts. 6º e 7º, em razão da redação com comandos concretos e objetivos ao Executivo, que extrapolam o caráter de diretriz;</w:t>
      </w:r>
    </w:p>
    <w:p w:rsidR="00EA3CD8" w:rsidRPr="00331AD2" w:rsidP="00331AD2" w14:paraId="42DD39ED" w14:textId="77777777">
      <w:pPr>
        <w:pStyle w:val="NormalWeb"/>
        <w:numPr>
          <w:ilvl w:val="0"/>
          <w:numId w:val="17"/>
        </w:numPr>
        <w:spacing w:line="360" w:lineRule="auto"/>
        <w:jc w:val="both"/>
      </w:pPr>
      <w:r w:rsidRPr="00331AD2">
        <w:rPr>
          <w:rStyle w:val="Strong"/>
        </w:rPr>
        <w:t>inconstitucionalidade do art. 10</w:t>
      </w:r>
      <w:r w:rsidRPr="00331AD2">
        <w:t>, por impor prazo certo ao Prefeito para regulamentação da lei, afrontando a separação de poderes.</w:t>
      </w:r>
    </w:p>
    <w:p w:rsidR="00EA3CD8" w:rsidP="00331AD2" w14:paraId="3C041436" w14:textId="77777777">
      <w:pPr>
        <w:pStyle w:val="NormalWeb"/>
        <w:spacing w:line="360" w:lineRule="auto"/>
        <w:jc w:val="both"/>
      </w:pPr>
      <w:r w:rsidRPr="00331AD2">
        <w:t xml:space="preserve">Assim, recomenda-se a </w:t>
      </w:r>
      <w:r w:rsidRPr="00331AD2">
        <w:rPr>
          <w:rStyle w:val="Strong"/>
        </w:rPr>
        <w:t>adequação desses dispositivos</w:t>
      </w:r>
      <w:r w:rsidRPr="00331AD2">
        <w:t xml:space="preserve"> para garantir a constitucionalidade e a segurança jurídica da proposição.</w:t>
      </w:r>
    </w:p>
    <w:p w:rsidR="009064E3" w:rsidRPr="00331AD2" w:rsidP="00331AD2" w14:paraId="5C419EEB" w14:textId="77777777">
      <w:pPr>
        <w:pStyle w:val="NormalWeb"/>
        <w:spacing w:line="360" w:lineRule="auto"/>
        <w:jc w:val="both"/>
      </w:pPr>
    </w:p>
    <w:p w:rsidR="00F74441" w:rsidP="00331AD2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331AD2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9064E3" w:rsidRPr="009064E3" w:rsidP="009064E3" w14:paraId="79627949" w14:textId="77777777"/>
    <w:p w:rsidR="00F74441" w:rsidRPr="00331AD2" w:rsidP="00331AD2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331AD2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331AD2" w:rsidP="00331AD2" w14:paraId="470069E2" w14:textId="77777777">
      <w:pPr>
        <w:spacing w:line="360" w:lineRule="auto"/>
        <w:rPr>
          <w:sz w:val="24"/>
          <w:szCs w:val="24"/>
        </w:rPr>
      </w:pPr>
    </w:p>
    <w:p w:rsidR="00387530" w:rsidRPr="009064E3" w:rsidP="00331AD2" w14:paraId="3EE86CEC" w14:textId="77777777">
      <w:pPr>
        <w:spacing w:line="360" w:lineRule="auto"/>
        <w:jc w:val="both"/>
        <w:rPr>
          <w:rFonts w:eastAsiaTheme="minorEastAsia"/>
          <w:b/>
          <w:sz w:val="24"/>
          <w:szCs w:val="24"/>
          <w:lang w:val="en-US" w:eastAsia="en-US"/>
        </w:rPr>
      </w:pPr>
      <w:r w:rsidRPr="00331AD2">
        <w:rPr>
          <w:color w:val="000000" w:themeColor="text1"/>
          <w:sz w:val="24"/>
          <w:szCs w:val="24"/>
        </w:rPr>
        <w:tab/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A matéria insere-se no âmbito da competência municipal para legislar sobre assuntos de interesse local e suplementar a legislação federal e estadual, nos termos do </w:t>
      </w:r>
      <w:r w:rsidRPr="009064E3">
        <w:rPr>
          <w:rFonts w:eastAsiaTheme="minorEastAsia"/>
          <w:b/>
          <w:sz w:val="24"/>
          <w:szCs w:val="24"/>
          <w:lang w:val="en-US" w:eastAsia="en-US"/>
        </w:rPr>
        <w:t>art. 30, I e II da Constituição Federal.</w:t>
      </w:r>
    </w:p>
    <w:p w:rsidR="00387530" w:rsidRPr="00331AD2" w:rsidP="00331AD2" w14:paraId="5852B961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387530" w:rsidP="00331AD2" w14:paraId="789E95D4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t xml:space="preserve">A </w:t>
      </w:r>
      <w:r w:rsidRPr="009064E3">
        <w:rPr>
          <w:rFonts w:eastAsiaTheme="minorEastAsia"/>
          <w:b/>
          <w:sz w:val="24"/>
          <w:szCs w:val="24"/>
          <w:lang w:val="en-US" w:eastAsia="en-US"/>
        </w:rPr>
        <w:t>Lei Orgânica do Município de Mogi Mirim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, em seus </w:t>
      </w:r>
      <w:r w:rsidRPr="009064E3">
        <w:rPr>
          <w:rFonts w:eastAsiaTheme="minorEastAsia"/>
          <w:b/>
          <w:sz w:val="24"/>
          <w:szCs w:val="24"/>
          <w:lang w:val="en-US" w:eastAsia="en-US"/>
        </w:rPr>
        <w:t xml:space="preserve">arts. 12, I, II e XX, e art. 13, </w:t>
      </w:r>
      <w:r w:rsidRPr="00331AD2">
        <w:rPr>
          <w:rFonts w:eastAsiaTheme="minorEastAsia"/>
          <w:sz w:val="24"/>
          <w:szCs w:val="24"/>
          <w:lang w:val="en-US" w:eastAsia="en-US"/>
        </w:rPr>
        <w:t>atribui ao Município competência privativa e concorrente em matéria de meio ambiente, saneamento básico e destinação de resíduos sólidos, além do poder de polícia administrativa para impor penalidades.</w:t>
      </w:r>
    </w:p>
    <w:p w:rsidR="009064E3" w:rsidP="00331AD2" w14:paraId="5C7A79AE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9064E3" w:rsidP="00331AD2" w14:paraId="6A217FDB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9064E3" w:rsidP="00331AD2" w14:paraId="2232D66B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9064E3" w:rsidP="00331AD2" w14:paraId="135882E4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9064E3" w:rsidP="00331AD2" w14:paraId="45A22B43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387530" w:rsidP="00331AD2" w14:paraId="63C0025E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t>O Regimento Interno da Câmara Municipal (Resolução nº 276/2010) disciplina o devido processo legislativo e a competência das comissões para emissão de pareceres e proposição de emendas.</w:t>
      </w:r>
    </w:p>
    <w:p w:rsidR="009064E3" w:rsidP="00331AD2" w14:paraId="51D3DE74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387530" w:rsidRPr="00331AD2" w:rsidP="009064E3" w14:paraId="07107937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t>No mérito da constitucionalidade, reafirma-se que a jurisprudência do TJSP valida leis municipais que instituem programas de gestão ambiental, desde que não contenham ordens administrativas concretas e respeitem a autonomia do Executivo.</w:t>
      </w:r>
    </w:p>
    <w:p w:rsidR="00387530" w:rsidRPr="00331AD2" w:rsidP="00331AD2" w14:paraId="0B6D550A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387530" w:rsidRPr="00331AD2" w:rsidP="00331AD2" w14:paraId="40CC09D4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t>Todavia, identificam-se pontos que devem ser corrigidos:</w:t>
      </w:r>
    </w:p>
    <w:p w:rsidR="00631FD1" w:rsidP="00331AD2" w14:paraId="09DE3B12" w14:textId="77777777">
      <w:pPr>
        <w:spacing w:line="360" w:lineRule="auto"/>
        <w:ind w:firstLine="720"/>
        <w:jc w:val="both"/>
        <w:rPr>
          <w:rFonts w:eastAsiaTheme="minorEastAsia"/>
          <w:b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br/>
        <w:t>1.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 xml:space="preserve"> Artigo 6º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 – contém comandos administrativos diretos ao Executivo (instalação de PEVs, criação de plataforma digital, etc.), que devem ser transformados em diretrizes gerais. Ademais, 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>seu parágrafo está grafado como '§1º'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. Como há apenas um parágrafo, a forma correta, segundo técnica legislativa, é 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>'Parágrafo único'.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 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>Recomenda-se ajuste por emenda.</w:t>
      </w:r>
    </w:p>
    <w:p w:rsidR="00387530" w:rsidRPr="00331AD2" w:rsidP="00331AD2" w14:paraId="023925F6" w14:textId="2D8CDE4F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br/>
        <w:t>2.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 xml:space="preserve"> Artigo 10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 – a fixação de prazo de 90 dias para regulamentação é inconstitucional, por ferir a separação de poderes e o poder regulamentar do Prefeito.</w:t>
      </w:r>
    </w:p>
    <w:p w:rsidR="00387530" w:rsidRPr="00331AD2" w:rsidP="00331AD2" w14:paraId="5FACA4F0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br/>
        <w:t>3.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 xml:space="preserve"> Artigo 7º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 – cristaliza meios específicos de divulgação. Sugere-se substituição por cláusula geral de transparência ativa.</w:t>
      </w:r>
    </w:p>
    <w:p w:rsidR="00387530" w:rsidRPr="00331AD2" w:rsidP="00331AD2" w14:paraId="2C78D7CF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rFonts w:eastAsiaTheme="minorEastAsia"/>
          <w:sz w:val="24"/>
          <w:szCs w:val="24"/>
          <w:lang w:val="en-US" w:eastAsia="en-US"/>
        </w:rPr>
        <w:br/>
        <w:t xml:space="preserve">4. </w:t>
      </w:r>
      <w:r w:rsidRPr="00331AD2">
        <w:rPr>
          <w:rFonts w:eastAsiaTheme="minorEastAsia"/>
          <w:b/>
          <w:sz w:val="24"/>
          <w:szCs w:val="24"/>
          <w:lang w:val="en-US" w:eastAsia="en-US"/>
        </w:rPr>
        <w:t>Artigo 9º</w:t>
      </w:r>
      <w:r w:rsidRPr="00331AD2">
        <w:rPr>
          <w:rFonts w:eastAsiaTheme="minorEastAsia"/>
          <w:sz w:val="24"/>
          <w:szCs w:val="24"/>
          <w:lang w:val="en-US" w:eastAsia="en-US"/>
        </w:rPr>
        <w:t xml:space="preserve"> – carece de previsão expressa quanto à gradação das penalidades, critérios objetivos por porte e gravidade, além da possibilidade de termo de ajustamento para infrações de baixo impacto.</w:t>
      </w:r>
    </w:p>
    <w:p w:rsidR="00387530" w:rsidRPr="00331AD2" w:rsidP="00331AD2" w14:paraId="05194150" w14:textId="77777777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</w:p>
    <w:p w:rsidR="00387530" w:rsidRPr="00331AD2" w:rsidP="00331AD2" w14:paraId="54B313A3" w14:textId="567F5ABF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n-US" w:eastAsia="en-US"/>
        </w:rPr>
      </w:pPr>
      <w:r>
        <w:rPr>
          <w:rFonts w:eastAsiaTheme="minorEastAsia"/>
          <w:sz w:val="24"/>
          <w:szCs w:val="24"/>
          <w:lang w:val="en-US" w:eastAsia="en-US"/>
        </w:rPr>
        <w:t>Pelo Exposto, c</w:t>
      </w:r>
      <w:r w:rsidRPr="00331AD2">
        <w:rPr>
          <w:rFonts w:eastAsiaTheme="minorEastAsia"/>
          <w:sz w:val="24"/>
          <w:szCs w:val="24"/>
          <w:lang w:val="en-US" w:eastAsia="en-US"/>
        </w:rPr>
        <w:t>onclui-se</w:t>
      </w:r>
      <w:r>
        <w:rPr>
          <w:rFonts w:eastAsiaTheme="minorEastAsia"/>
          <w:sz w:val="24"/>
          <w:szCs w:val="24"/>
          <w:lang w:val="en-US" w:eastAsia="en-US"/>
        </w:rPr>
        <w:t xml:space="preserve"> </w:t>
      </w:r>
      <w:r w:rsidRPr="00331AD2">
        <w:rPr>
          <w:rFonts w:eastAsiaTheme="minorEastAsia"/>
          <w:sz w:val="24"/>
          <w:szCs w:val="24"/>
          <w:lang w:val="en-US" w:eastAsia="en-US"/>
        </w:rPr>
        <w:t>que o Projeto de Lei é constitucional e legal em tese, mas depende da aprovação de emendas corretivas, a fim de afastar vícios de técnica legislativa e inconstitucionalidade.</w:t>
      </w:r>
    </w:p>
    <w:p w:rsidR="00387530" w:rsidRPr="00331AD2" w:rsidP="00331AD2" w14:paraId="51C2F2C6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</w:p>
    <w:p w:rsidR="009064E3" w:rsidP="00331AD2" w14:paraId="07377E25" w14:textId="77777777">
      <w:pPr>
        <w:pStyle w:val="BodyText"/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  <w:r w:rsidRPr="00331AD2">
        <w:rPr>
          <w:rStyle w:val="Strong"/>
          <w:bCs w:val="0"/>
          <w:color w:val="000000" w:themeColor="text1"/>
          <w:sz w:val="24"/>
          <w:szCs w:val="24"/>
        </w:rPr>
        <w:tab/>
      </w:r>
    </w:p>
    <w:p w:rsidR="009064E3" w:rsidP="00331AD2" w14:paraId="4D655CF8" w14:textId="77777777">
      <w:pPr>
        <w:pStyle w:val="BodyText"/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</w:p>
    <w:p w:rsidR="009064E3" w:rsidP="00331AD2" w14:paraId="44AC7D6B" w14:textId="77777777">
      <w:pPr>
        <w:pStyle w:val="BodyText"/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</w:p>
    <w:p w:rsidR="00F74441" w:rsidRPr="00331AD2" w:rsidP="00331AD2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331AD2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387530" w:rsidRPr="00331AD2" w:rsidP="00331AD2" w14:paraId="1C5428F8" w14:textId="2BDA404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31AD2">
        <w:rPr>
          <w:color w:val="000000" w:themeColor="text1"/>
          <w:sz w:val="24"/>
          <w:szCs w:val="24"/>
        </w:rPr>
        <w:tab/>
      </w:r>
      <w:r w:rsidRPr="00331AD2">
        <w:rPr>
          <w:sz w:val="24"/>
          <w:szCs w:val="24"/>
        </w:rPr>
        <w:t xml:space="preserve">Do ponto de vista ambiental e de saneamento, o Programa é </w:t>
      </w:r>
      <w:r w:rsidRPr="00331AD2">
        <w:rPr>
          <w:b/>
          <w:bCs/>
          <w:sz w:val="24"/>
          <w:szCs w:val="24"/>
        </w:rPr>
        <w:t>conveniente e oportuno</w:t>
      </w:r>
      <w:r w:rsidRPr="00331AD2">
        <w:rPr>
          <w:sz w:val="24"/>
          <w:szCs w:val="24"/>
        </w:rPr>
        <w:t xml:space="preserve">: reduz entupimentos e custos de esgoto/drenagem, previne contaminação de água e solo e fomenta a economia circular, com geração de renda a cooperativas/recicladores, além de capitalizar a experiência já existente no Município (URR) — tudo em linha com boas práticas de gestão de resíduos e com a logística reversa. </w:t>
      </w:r>
    </w:p>
    <w:p w:rsidR="00387530" w:rsidRPr="00331AD2" w:rsidP="00331AD2" w14:paraId="63B47348" w14:textId="149FA5F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31AD2">
        <w:rPr>
          <w:sz w:val="24"/>
          <w:szCs w:val="24"/>
        </w:rPr>
        <w:t xml:space="preserve">Recomenda-se, contudo, </w:t>
      </w:r>
      <w:r w:rsidR="009064E3">
        <w:rPr>
          <w:b/>
          <w:bCs/>
          <w:sz w:val="24"/>
          <w:szCs w:val="24"/>
        </w:rPr>
        <w:t>adequar</w:t>
      </w:r>
      <w:r w:rsidRPr="00331AD2">
        <w:rPr>
          <w:b/>
          <w:bCs/>
          <w:sz w:val="24"/>
          <w:szCs w:val="24"/>
        </w:rPr>
        <w:t xml:space="preserve"> a exequibilidade</w:t>
      </w:r>
      <w:r w:rsidRPr="00331AD2">
        <w:rPr>
          <w:sz w:val="24"/>
          <w:szCs w:val="24"/>
        </w:rPr>
        <w:t>:</w:t>
      </w:r>
    </w:p>
    <w:p w:rsidR="00387530" w:rsidP="00331AD2" w14:paraId="1CB76C0C" w14:textId="77777777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31AD2">
        <w:rPr>
          <w:b/>
          <w:bCs/>
          <w:sz w:val="24"/>
          <w:szCs w:val="24"/>
        </w:rPr>
        <w:t>Diretrizes, não ordens operacionais</w:t>
      </w:r>
      <w:r w:rsidRPr="00331AD2">
        <w:rPr>
          <w:sz w:val="24"/>
          <w:szCs w:val="24"/>
        </w:rPr>
        <w:t xml:space="preserve">: manter a lei em nível de princípios e diretrizes, deixando ao Executivo a organização (PEVs, parcerias, rotas, canais de comunicação), evitando amarras administrativas. </w:t>
      </w:r>
    </w:p>
    <w:p w:rsidR="00387530" w:rsidRPr="00331AD2" w:rsidP="00331AD2" w14:paraId="43B8C880" w14:textId="77777777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31AD2">
        <w:rPr>
          <w:b/>
          <w:bCs/>
          <w:sz w:val="24"/>
          <w:szCs w:val="24"/>
        </w:rPr>
        <w:t>Penalidades proporcionais e tipificadas</w:t>
      </w:r>
      <w:r w:rsidRPr="00331AD2">
        <w:rPr>
          <w:sz w:val="24"/>
          <w:szCs w:val="24"/>
        </w:rPr>
        <w:t xml:space="preserve">: manter a gradação (advertência → multa → cassação), mas com </w:t>
      </w:r>
      <w:r w:rsidRPr="00331AD2">
        <w:rPr>
          <w:b/>
          <w:bCs/>
          <w:sz w:val="24"/>
          <w:szCs w:val="24"/>
        </w:rPr>
        <w:t>critérios objetivos</w:t>
      </w:r>
      <w:r w:rsidRPr="00331AD2">
        <w:rPr>
          <w:sz w:val="24"/>
          <w:szCs w:val="24"/>
        </w:rPr>
        <w:t xml:space="preserve"> por porte do estabelecimento, reincidência e gravidade, e com respeito ao devido processo administrativo; prever possibilidade de </w:t>
      </w:r>
      <w:r w:rsidRPr="00331AD2">
        <w:rPr>
          <w:b/>
          <w:bCs/>
          <w:sz w:val="24"/>
          <w:szCs w:val="24"/>
        </w:rPr>
        <w:t>termo de ajustamento</w:t>
      </w:r>
      <w:r w:rsidRPr="00331AD2">
        <w:rPr>
          <w:sz w:val="24"/>
          <w:szCs w:val="24"/>
        </w:rPr>
        <w:t xml:space="preserve"> para primeira infração de baixo impacto (especialmente residências). </w:t>
      </w:r>
    </w:p>
    <w:p w:rsidR="00387530" w:rsidRPr="00331AD2" w:rsidP="00331AD2" w14:paraId="22F09C8F" w14:textId="77777777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31AD2">
        <w:rPr>
          <w:b/>
          <w:bCs/>
          <w:sz w:val="24"/>
          <w:szCs w:val="24"/>
        </w:rPr>
        <w:t>Transparência e educação ambiental</w:t>
      </w:r>
      <w:r w:rsidRPr="00331AD2">
        <w:rPr>
          <w:sz w:val="24"/>
          <w:szCs w:val="24"/>
        </w:rPr>
        <w:t xml:space="preserve">: substituir listagens de canais (site, redes, jornais) por cláusula geral de transparência ativa, para não cristalizar meios de divulgação na lei. </w:t>
      </w:r>
    </w:p>
    <w:p w:rsidR="00387530" w:rsidRPr="00331AD2" w:rsidP="00331AD2" w14:paraId="03B2ED6C" w14:textId="77777777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31AD2">
        <w:rPr>
          <w:b/>
          <w:bCs/>
          <w:sz w:val="24"/>
          <w:szCs w:val="24"/>
        </w:rPr>
        <w:t>URR</w:t>
      </w:r>
      <w:r w:rsidRPr="00331AD2">
        <w:rPr>
          <w:sz w:val="24"/>
          <w:szCs w:val="24"/>
        </w:rPr>
        <w:t xml:space="preserve">: evitar a indicação de endereço/estrutura específica na lei (ato típico de gestão), remetendo detalhes a ato do Executivo. </w:t>
      </w:r>
    </w:p>
    <w:p w:rsidR="00F74441" w:rsidRPr="00331AD2" w:rsidP="00331AD2" w14:paraId="68542A3A" w14:textId="3DEF31BE">
      <w:pPr>
        <w:pStyle w:val="NormalWeb"/>
        <w:spacing w:line="360" w:lineRule="auto"/>
        <w:jc w:val="both"/>
        <w:rPr>
          <w:color w:val="000000" w:themeColor="text1"/>
        </w:rPr>
      </w:pPr>
      <w:r w:rsidRPr="00331AD2">
        <w:br/>
      </w:r>
      <w:r w:rsidRPr="00331AD2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867454" w:rsidRPr="00331AD2" w:rsidP="00331AD2" w14:paraId="2EE0A2F2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color w:val="000000" w:themeColor="text1"/>
          <w:sz w:val="24"/>
          <w:szCs w:val="24"/>
        </w:rPr>
        <w:tab/>
      </w:r>
      <w:r w:rsidRPr="00331AD2">
        <w:rPr>
          <w:rFonts w:eastAsiaTheme="minorEastAsia"/>
          <w:sz w:val="24"/>
          <w:szCs w:val="24"/>
          <w:lang w:val="en-US" w:eastAsia="en-US"/>
        </w:rPr>
        <w:t>Para preservar o mérito do Projeto e corrigir os vícios apontados, recomenda-se a aprovação mediante as seguintes emendas (apresentadas em documento anexo):</w:t>
      </w:r>
    </w:p>
    <w:p w:rsidR="00867454" w:rsidRPr="00631FD1" w:rsidP="00631FD1" w14:paraId="40A5F2F6" w14:textId="0682676B">
      <w:pPr>
        <w:pStyle w:val="ListParagraph"/>
        <w:numPr>
          <w:ilvl w:val="0"/>
          <w:numId w:val="21"/>
        </w:numPr>
        <w:spacing w:line="360" w:lineRule="auto"/>
        <w:ind w:hanging="357"/>
        <w:jc w:val="both"/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</w:pPr>
      <w:r w:rsidRPr="00631FD1"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>Emenda supressiva (art. 10);</w:t>
      </w:r>
    </w:p>
    <w:p w:rsidR="00867454" w:rsidRPr="00631FD1" w:rsidP="00631FD1" w14:paraId="23968C28" w14:textId="76439355">
      <w:pPr>
        <w:pStyle w:val="ListParagraph"/>
        <w:numPr>
          <w:ilvl w:val="0"/>
          <w:numId w:val="21"/>
        </w:numPr>
        <w:spacing w:line="360" w:lineRule="auto"/>
        <w:ind w:hanging="357"/>
        <w:jc w:val="both"/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</w:pPr>
      <w:r w:rsidRPr="00631FD1"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>Emenda modificativa (art. 6º, com ajuste programático e correção do parágrafo);</w:t>
      </w:r>
    </w:p>
    <w:p w:rsidR="00867454" w:rsidP="00631FD1" w14:paraId="0CD973C5" w14:textId="1C2D246F">
      <w:pPr>
        <w:pStyle w:val="ListParagraph"/>
        <w:numPr>
          <w:ilvl w:val="0"/>
          <w:numId w:val="21"/>
        </w:numPr>
        <w:spacing w:line="360" w:lineRule="auto"/>
        <w:ind w:hanging="357"/>
        <w:jc w:val="both"/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</w:pPr>
      <w:r w:rsidRPr="00631FD1"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>Emenda modificativa (art. 7º – transparência ativa);</w:t>
      </w:r>
    </w:p>
    <w:p w:rsidR="00867454" w:rsidRPr="00631FD1" w:rsidP="00631FD1" w14:paraId="2B531F33" w14:textId="324E2C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 xml:space="preserve"> </w:t>
      </w:r>
      <w:r w:rsidRPr="00631FD1"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>Emenda aditiva (art. 9º – critérios objetivos e termo de ajustamento</w:t>
      </w:r>
      <w:r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 xml:space="preserve"> de conduta</w:t>
      </w:r>
      <w:r w:rsidRPr="00631FD1">
        <w:rPr>
          <w:rFonts w:ascii="Times New Roman" w:hAnsi="Times New Roman" w:eastAsiaTheme="minorEastAsia" w:cs="Times New Roman"/>
          <w:sz w:val="24"/>
          <w:szCs w:val="24"/>
          <w:lang w:val="en-US" w:eastAsia="en-US"/>
        </w:rPr>
        <w:t>).</w:t>
      </w:r>
    </w:p>
    <w:p w:rsidR="00867454" w:rsidRPr="00331AD2" w:rsidP="00331AD2" w14:paraId="30ABAA07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</w:p>
    <w:p w:rsidR="00F74441" w:rsidRPr="00331AD2" w:rsidP="00331AD2" w14:paraId="0089363A" w14:textId="3B5447CC">
      <w:pPr>
        <w:pStyle w:val="NormalWeb"/>
        <w:spacing w:line="360" w:lineRule="auto"/>
        <w:jc w:val="both"/>
        <w:rPr>
          <w:color w:val="000000" w:themeColor="text1"/>
        </w:rPr>
      </w:pPr>
      <w:r w:rsidRPr="00331AD2">
        <w:rPr>
          <w:rStyle w:val="Strong"/>
          <w:bCs w:val="0"/>
          <w:color w:val="000000" w:themeColor="text1"/>
        </w:rPr>
        <w:t>IV - DECISÃO DA RELATORIA</w:t>
      </w:r>
    </w:p>
    <w:p w:rsidR="00867454" w:rsidRPr="00331AD2" w:rsidP="00331AD2" w14:paraId="2F521C2D" w14:textId="291D489C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  <w:r w:rsidRPr="00331AD2">
        <w:rPr>
          <w:color w:val="000000" w:themeColor="text1"/>
          <w:sz w:val="24"/>
          <w:szCs w:val="24"/>
        </w:rPr>
        <w:tab/>
      </w:r>
      <w:r w:rsidRPr="00331AD2" w:rsidR="00E73852">
        <w:rPr>
          <w:sz w:val="24"/>
          <w:szCs w:val="24"/>
        </w:rPr>
        <w:t xml:space="preserve"> </w:t>
      </w:r>
      <w:r w:rsidRPr="00331AD2">
        <w:rPr>
          <w:rFonts w:eastAsiaTheme="minorEastAsia"/>
          <w:sz w:val="24"/>
          <w:szCs w:val="24"/>
          <w:lang w:val="en-US" w:eastAsia="en-US"/>
        </w:rPr>
        <w:t>Diante do exposto, voto pela aprovação do Projeto de Lei nº 95/2025, com as emendas apresentadas em anexo, de modo a sanar os vícios apontados e garantir segurança jurídica, constitucionalidade e efetividade à política pública.</w:t>
      </w:r>
    </w:p>
    <w:p w:rsidR="00F74441" w:rsidRPr="00331AD2" w:rsidP="00331AD2" w14:paraId="6AB168D8" w14:textId="595F6610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331AD2">
        <w:rPr>
          <w:rStyle w:val="Strong"/>
          <w:color w:val="000000" w:themeColor="text1"/>
        </w:rPr>
        <w:t>SALA DAS SESSÕES</w:t>
      </w:r>
      <w:r w:rsidRPr="00331AD2" w:rsidR="00867454">
        <w:rPr>
          <w:rStyle w:val="Strong"/>
          <w:color w:val="000000" w:themeColor="text1"/>
        </w:rPr>
        <w:t xml:space="preserve"> “VEREADOR SANTO RÓTTOLI”, em 05</w:t>
      </w:r>
      <w:r w:rsidRPr="00331AD2">
        <w:rPr>
          <w:rStyle w:val="Strong"/>
          <w:color w:val="000000" w:themeColor="text1"/>
        </w:rPr>
        <w:t xml:space="preserve"> de </w:t>
      </w:r>
      <w:r w:rsidRPr="00331AD2" w:rsidR="005D038D">
        <w:rPr>
          <w:rStyle w:val="Strong"/>
          <w:color w:val="000000" w:themeColor="text1"/>
        </w:rPr>
        <w:t>setembro</w:t>
      </w:r>
      <w:r w:rsidRPr="00331AD2">
        <w:rPr>
          <w:rStyle w:val="Strong"/>
          <w:color w:val="000000" w:themeColor="text1"/>
        </w:rPr>
        <w:t xml:space="preserve"> de 2025.</w:t>
      </w:r>
    </w:p>
    <w:p w:rsidR="00CB631F" w:rsidRPr="00331AD2" w:rsidP="00331AD2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331AD2" w:rsidP="00331AD2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31AD2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331AD2" w:rsidP="00331AD2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31AD2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31AD2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31AD2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331AD2" w:rsidP="00331AD2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31AD2">
        <w:rPr>
          <w:color w:val="000000" w:themeColor="text1"/>
          <w:sz w:val="24"/>
          <w:szCs w:val="24"/>
        </w:rPr>
        <w:t>Relator</w:t>
      </w:r>
    </w:p>
    <w:p w:rsidR="00CB631F" w:rsidRPr="00331AD2" w:rsidP="00331AD2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331AD2" w:rsidP="00331AD2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631FD1" w:rsidP="00331AD2" w14:paraId="010DA84F" w14:textId="77777777">
      <w:pPr>
        <w:pStyle w:val="Heading3"/>
        <w:spacing w:line="360" w:lineRule="auto"/>
        <w:jc w:val="both"/>
        <w:rPr>
          <w:color w:val="000000" w:themeColor="text1"/>
          <w:sz w:val="21"/>
          <w:szCs w:val="21"/>
        </w:rPr>
      </w:pPr>
      <w:r w:rsidRPr="00631FD1">
        <w:rPr>
          <w:rStyle w:val="Strong"/>
          <w:b/>
          <w:bCs w:val="0"/>
          <w:color w:val="000000" w:themeColor="text1"/>
          <w:sz w:val="21"/>
          <w:szCs w:val="21"/>
        </w:rPr>
        <w:t>REFERÊNCIAS:</w:t>
      </w:r>
    </w:p>
    <w:p w:rsidR="00867454" w:rsidRPr="00631FD1" w:rsidP="00331AD2" w14:paraId="6697E535" w14:textId="7777777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b/>
          <w:bCs/>
          <w:sz w:val="21"/>
          <w:szCs w:val="21"/>
        </w:rPr>
        <w:t>Constituição Federal de 1988</w:t>
      </w:r>
    </w:p>
    <w:p w:rsidR="00867454" w:rsidRPr="00867454" w:rsidP="00631FD1" w14:paraId="6C41132B" w14:textId="77777777">
      <w:pPr>
        <w:numPr>
          <w:ilvl w:val="1"/>
          <w:numId w:val="20"/>
        </w:numPr>
        <w:tabs>
          <w:tab w:val="num" w:pos="1134"/>
          <w:tab w:val="clear" w:pos="1440"/>
        </w:tabs>
        <w:spacing w:before="100" w:beforeAutospacing="1" w:after="100" w:afterAutospacing="1" w:line="360" w:lineRule="auto"/>
        <w:ind w:left="1418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Art. 23, VI – competência comum para proteção do meio ambiente.</w:t>
      </w:r>
    </w:p>
    <w:p w:rsidR="00867454" w:rsidRPr="00867454" w:rsidP="00631FD1" w14:paraId="17894E90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Art. 24, VI – competência concorrente para legislar sobre meio ambiente.</w:t>
      </w:r>
    </w:p>
    <w:p w:rsidR="00867454" w:rsidRPr="00867454" w:rsidP="00631FD1" w14:paraId="09979A32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Art. 30, I e II – competência dos Municípios para legislar sobre interesse local e suplementar normas federais e estaduais.</w:t>
      </w:r>
    </w:p>
    <w:p w:rsidR="00867454" w:rsidRPr="00867454" w:rsidP="00631FD1" w14:paraId="18032644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Art. 225 – direito fundamental ao meio ambiente ecologicamente equilibrado.</w:t>
      </w:r>
    </w:p>
    <w:p w:rsidR="00867454" w:rsidRPr="00867454" w:rsidP="00631FD1" w14:paraId="4BDFB7B9" w14:textId="7777777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b/>
          <w:bCs/>
          <w:sz w:val="21"/>
          <w:szCs w:val="21"/>
        </w:rPr>
        <w:t>Lei Orgânica do Município de Mogi Mirim</w:t>
      </w:r>
    </w:p>
    <w:p w:rsidR="00867454" w:rsidRPr="00867454" w:rsidP="00631FD1" w14:paraId="609816D0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Art. 12, I, II e XX – competências privativas do Município.</w:t>
      </w:r>
    </w:p>
    <w:p w:rsidR="00867454" w:rsidRPr="00867454" w:rsidP="00631FD1" w14:paraId="45B004E6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Art. 13 – competências administrativas locais, inclusive em matéria ambiental e de saneamento.</w:t>
      </w:r>
    </w:p>
    <w:p w:rsidR="00867454" w:rsidRPr="00867454" w:rsidP="00631FD1" w14:paraId="0CB8D582" w14:textId="7777777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b/>
          <w:bCs/>
          <w:sz w:val="21"/>
          <w:szCs w:val="21"/>
        </w:rPr>
        <w:t>Regimento Interno da Câmara Municipal de Mogi Mirim (Resolução nº 276/2010)</w:t>
      </w:r>
    </w:p>
    <w:p w:rsidR="00867454" w:rsidRPr="00867454" w:rsidP="00631FD1" w14:paraId="29E3898F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>Disposições sobre o processo legislativo e atuação das comissões permanentes.</w:t>
      </w:r>
    </w:p>
    <w:p w:rsidR="00867454" w:rsidRPr="00867454" w:rsidP="00631FD1" w14:paraId="192108AB" w14:textId="77777777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b/>
          <w:bCs/>
          <w:sz w:val="21"/>
          <w:szCs w:val="21"/>
        </w:rPr>
        <w:t>Jurisprudência do Tribunal de Justiça de São Paulo (TJSP)</w:t>
      </w:r>
    </w:p>
    <w:p w:rsidR="00867454" w:rsidRPr="00867454" w:rsidP="00631FD1" w14:paraId="23565A2B" w14:textId="77777777">
      <w:pPr>
        <w:numPr>
          <w:ilvl w:val="1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sz w:val="21"/>
          <w:szCs w:val="21"/>
        </w:rPr>
        <w:t xml:space="preserve">Precedentes reconhecendo a constitucionalidade de leis municipais sobre programas de coleta e reciclagem de óleo e resíduos: casos de </w:t>
      </w:r>
      <w:r w:rsidRPr="00867454">
        <w:rPr>
          <w:b/>
          <w:bCs/>
          <w:sz w:val="21"/>
          <w:szCs w:val="21"/>
        </w:rPr>
        <w:t>Regente Feijó</w:t>
      </w:r>
      <w:r w:rsidRPr="00867454">
        <w:rPr>
          <w:sz w:val="21"/>
          <w:szCs w:val="21"/>
        </w:rPr>
        <w:t xml:space="preserve">, </w:t>
      </w:r>
      <w:r w:rsidRPr="00867454">
        <w:rPr>
          <w:b/>
          <w:bCs/>
          <w:sz w:val="21"/>
          <w:szCs w:val="21"/>
        </w:rPr>
        <w:t>Jundiaí</w:t>
      </w:r>
      <w:r w:rsidRPr="00867454">
        <w:rPr>
          <w:sz w:val="21"/>
          <w:szCs w:val="21"/>
        </w:rPr>
        <w:t xml:space="preserve"> e </w:t>
      </w:r>
      <w:r w:rsidRPr="00867454">
        <w:rPr>
          <w:b/>
          <w:bCs/>
          <w:sz w:val="21"/>
          <w:szCs w:val="21"/>
        </w:rPr>
        <w:t>Suzano</w:t>
      </w:r>
      <w:r w:rsidRPr="00867454">
        <w:rPr>
          <w:sz w:val="21"/>
          <w:szCs w:val="21"/>
        </w:rPr>
        <w:t>.</w:t>
      </w:r>
    </w:p>
    <w:p w:rsidR="00867454" w:rsidRPr="00867454" w:rsidP="00631FD1" w14:paraId="42CDF97D" w14:textId="3803665E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sz w:val="21"/>
          <w:szCs w:val="21"/>
        </w:rPr>
      </w:pPr>
      <w:r w:rsidRPr="00867454">
        <w:rPr>
          <w:b/>
          <w:bCs/>
          <w:sz w:val="21"/>
          <w:szCs w:val="21"/>
        </w:rPr>
        <w:t>Parecer da Consultoria Legislativa da Câmara (SGP) – Consulta nº 0462/2025</w:t>
      </w:r>
      <w:r w:rsidRPr="00631FD1" w:rsidR="00331AD2">
        <w:rPr>
          <w:b/>
          <w:bCs/>
          <w:sz w:val="21"/>
          <w:szCs w:val="21"/>
        </w:rPr>
        <w:t>/MN/G/DDR</w:t>
      </w:r>
      <w:r w:rsidRPr="00867454">
        <w:rPr>
          <w:b/>
          <w:bCs/>
          <w:sz w:val="21"/>
          <w:szCs w:val="21"/>
        </w:rPr>
        <w:t>, de 18/08/2025</w:t>
      </w:r>
      <w:r w:rsidRPr="00867454">
        <w:rPr>
          <w:sz w:val="21"/>
          <w:szCs w:val="21"/>
        </w:rPr>
        <w:t>.</w:t>
      </w:r>
    </w:p>
    <w:p w:rsidR="00331AD2" w:rsidP="00331AD2" w14:paraId="46FBC224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631FD1" w:rsidP="00331AD2" w14:paraId="63A22BE9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331AD2" w:rsidP="00631FD1" w14:paraId="106B8342" w14:textId="5CD21BD4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331AD2">
        <w:rPr>
          <w:b/>
          <w:color w:val="000000" w:themeColor="text1"/>
        </w:rPr>
        <w:t xml:space="preserve">PARECER FAVORÁVEL DA COMISSÃO DE JUSTIÇA E REDAÇÃO AO PROJETO DE LEI N° </w:t>
      </w:r>
      <w:r w:rsidRPr="00331AD2" w:rsidR="00331AD2">
        <w:rPr>
          <w:b/>
          <w:color w:val="000000" w:themeColor="text1"/>
        </w:rPr>
        <w:t>95</w:t>
      </w:r>
      <w:r w:rsidRPr="00331AD2">
        <w:rPr>
          <w:b/>
          <w:color w:val="000000" w:themeColor="text1"/>
        </w:rPr>
        <w:t xml:space="preserve"> DE 2025 DE AUTORIA D</w:t>
      </w:r>
      <w:r w:rsidRPr="00331AD2" w:rsidR="00331AD2">
        <w:rPr>
          <w:b/>
          <w:color w:val="000000" w:themeColor="text1"/>
        </w:rPr>
        <w:t>O</w:t>
      </w:r>
      <w:r w:rsidRPr="00331AD2">
        <w:rPr>
          <w:b/>
          <w:color w:val="000000" w:themeColor="text1"/>
        </w:rPr>
        <w:t xml:space="preserve"> VEREADOR </w:t>
      </w:r>
      <w:r w:rsidRPr="00331AD2" w:rsidR="00331AD2">
        <w:rPr>
          <w:b/>
          <w:color w:val="000000" w:themeColor="text1"/>
        </w:rPr>
        <w:t>LUIZ FERNANDO SAVIANO</w:t>
      </w:r>
      <w:r w:rsidRPr="00331AD2">
        <w:rPr>
          <w:b/>
          <w:color w:val="000000" w:themeColor="text1"/>
        </w:rPr>
        <w:t>.</w:t>
      </w:r>
    </w:p>
    <w:p w:rsidR="00CB631F" w:rsidRPr="00331AD2" w:rsidP="00631FD1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331AD2" w:rsidP="00331AD2" w14:paraId="07973BF2" w14:textId="183381AE">
      <w:pPr>
        <w:pStyle w:val="NormalWeb"/>
        <w:spacing w:line="360" w:lineRule="auto"/>
        <w:jc w:val="both"/>
      </w:pPr>
      <w:r w:rsidRPr="00331AD2">
        <w:rPr>
          <w:color w:val="000000" w:themeColor="text1"/>
        </w:rPr>
        <w:tab/>
      </w:r>
      <w:r w:rsidRPr="00331AD2" w:rsidR="00B30455">
        <w:rPr>
          <w:color w:val="000000" w:themeColor="text1"/>
        </w:rPr>
        <w:t>N</w:t>
      </w:r>
      <w:r w:rsidRPr="00331AD2" w:rsidR="005D038D">
        <w:t>os termos do</w:t>
      </w:r>
      <w:r w:rsidRPr="00331AD2">
        <w:t xml:space="preserve"> artigo 35 da Resolução nº 276, de 09 de novembro de 2010, e </w:t>
      </w:r>
      <w:r w:rsidRPr="00331AD2" w:rsidR="00B30455">
        <w:t xml:space="preserve">acompanhando o voto do Relator, </w:t>
      </w:r>
      <w:r w:rsidRPr="00331AD2">
        <w:rPr>
          <w:bCs/>
        </w:rPr>
        <w:t>manifestam-se pela legalidade, constitucionalidade, e mérito d</w:t>
      </w:r>
      <w:r w:rsidRPr="00331AD2" w:rsidR="00B30455">
        <w:rPr>
          <w:bCs/>
        </w:rPr>
        <w:t xml:space="preserve">o </w:t>
      </w:r>
      <w:r w:rsidRPr="00331AD2" w:rsidR="00331AD2">
        <w:rPr>
          <w:b/>
          <w:bCs/>
        </w:rPr>
        <w:t>Projeto de Lei nº 95</w:t>
      </w:r>
      <w:r w:rsidRPr="00331AD2" w:rsidR="00B30455">
        <w:rPr>
          <w:b/>
          <w:bCs/>
        </w:rPr>
        <w:t xml:space="preserve"> de 2025</w:t>
      </w:r>
      <w:r w:rsidRPr="00331AD2" w:rsidR="00B30455">
        <w:rPr>
          <w:bCs/>
        </w:rPr>
        <w:t xml:space="preserve">, recomendando-se sua </w:t>
      </w:r>
      <w:r w:rsidRPr="00331AD2">
        <w:rPr>
          <w:bCs/>
        </w:rPr>
        <w:t>aprovação</w:t>
      </w:r>
      <w:r w:rsidRPr="00331AD2" w:rsidR="00B30455">
        <w:rPr>
          <w:bCs/>
        </w:rPr>
        <w:t>.</w:t>
      </w:r>
    </w:p>
    <w:p w:rsidR="00CB631F" w:rsidRPr="00331AD2" w:rsidP="00331AD2" w14:paraId="4FE36989" w14:textId="7B2ED227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09</w:t>
      </w:r>
      <w:r w:rsidRPr="00331AD2">
        <w:rPr>
          <w:sz w:val="24"/>
          <w:szCs w:val="24"/>
        </w:rPr>
        <w:t xml:space="preserve"> de </w:t>
      </w:r>
      <w:r w:rsidRPr="00331AD2" w:rsidR="005D038D">
        <w:rPr>
          <w:sz w:val="24"/>
          <w:szCs w:val="24"/>
        </w:rPr>
        <w:t>setembro</w:t>
      </w:r>
      <w:r w:rsidRPr="00331AD2">
        <w:rPr>
          <w:sz w:val="24"/>
          <w:szCs w:val="24"/>
        </w:rPr>
        <w:t xml:space="preserve"> de 2025.</w:t>
      </w:r>
    </w:p>
    <w:p w:rsidR="00CB631F" w:rsidRPr="00331AD2" w:rsidP="00331AD2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CB631F" w:rsidRPr="00331AD2" w:rsidP="00331AD2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331AD2" w:rsidP="00331AD2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331AD2" w:rsidP="00331AD2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331AD2" w:rsidP="00331AD2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331AD2" w:rsidP="00331AD2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331AD2" w:rsidP="00331AD2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331AD2" w:rsidP="00331AD2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331AD2" w:rsidP="00331AD2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331AD2" w:rsidP="00331AD2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21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7"/>
  </w:num>
  <w:num w:numId="13">
    <w:abstractNumId w:val="1"/>
  </w:num>
  <w:num w:numId="14">
    <w:abstractNumId w:val="3"/>
  </w:num>
  <w:num w:numId="15">
    <w:abstractNumId w:val="14"/>
  </w:num>
  <w:num w:numId="16">
    <w:abstractNumId w:val="13"/>
  </w:num>
  <w:num w:numId="17">
    <w:abstractNumId w:val="0"/>
  </w:num>
  <w:num w:numId="18">
    <w:abstractNumId w:val="5"/>
  </w:num>
  <w:num w:numId="19">
    <w:abstractNumId w:val="10"/>
  </w:num>
  <w:num w:numId="20">
    <w:abstractNumId w:val="18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31AD2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31FD1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14569"/>
    <w:rsid w:val="00E3543A"/>
    <w:rsid w:val="00E45995"/>
    <w:rsid w:val="00E57668"/>
    <w:rsid w:val="00E73852"/>
    <w:rsid w:val="00E7438B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3</cp:revision>
  <cp:lastPrinted>2024-11-28T14:11:00Z</cp:lastPrinted>
  <dcterms:created xsi:type="dcterms:W3CDTF">2025-09-05T19:40:00Z</dcterms:created>
  <dcterms:modified xsi:type="dcterms:W3CDTF">2025-09-09T18:18:00Z</dcterms:modified>
</cp:coreProperties>
</file>