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04B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7F4A6D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7F4A6D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7F4A6D" w:rsidR="00D510D8">
        <w:rPr>
          <w:rFonts w:asciiTheme="minorHAnsi" w:hAnsiTheme="minorHAnsi" w:cstheme="minorHAnsi"/>
          <w:sz w:val="24"/>
          <w:szCs w:val="24"/>
        </w:rPr>
        <w:t>artigo 39</w:t>
      </w:r>
      <w:r w:rsidRPr="007F4A6D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7F4A6D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7F4A6D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7F4A6D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7F4A6D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7F4A6D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7F4A6D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F4A6D" w:rsidR="00D510D8">
        <w:rPr>
          <w:rFonts w:asciiTheme="minorHAnsi" w:hAnsiTheme="minorHAnsi" w:cstheme="minorHAnsi"/>
          <w:sz w:val="24"/>
          <w:szCs w:val="24"/>
        </w:rPr>
        <w:t>nobre</w:t>
      </w:r>
      <w:r w:rsidRPr="007F4A6D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7F4A6D" w:rsidR="00CC422D">
        <w:rPr>
          <w:rFonts w:asciiTheme="minorHAnsi" w:hAnsiTheme="minorHAnsi" w:cstheme="minorHAnsi"/>
          <w:sz w:val="24"/>
          <w:szCs w:val="24"/>
        </w:rPr>
        <w:t>Lei</w:t>
      </w:r>
      <w:r w:rsidRPr="007F4A6D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Pr="007F4A6D" w:rsidR="001077F2">
        <w:rPr>
          <w:rFonts w:asciiTheme="minorHAnsi" w:hAnsiTheme="minorHAnsi" w:cstheme="minorHAnsi"/>
          <w:sz w:val="24"/>
          <w:szCs w:val="24"/>
        </w:rPr>
        <w:t>70</w:t>
      </w:r>
      <w:r w:rsidRPr="007F4A6D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7F4A6D">
        <w:rPr>
          <w:rFonts w:asciiTheme="minorHAnsi" w:hAnsiTheme="minorHAnsi" w:cstheme="minorHAnsi"/>
          <w:sz w:val="24"/>
          <w:szCs w:val="24"/>
        </w:rPr>
        <w:t>,</w:t>
      </w:r>
      <w:r w:rsidRPr="007F4A6D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7F4A6D" w:rsidR="008B7EE7">
        <w:rPr>
          <w:rFonts w:asciiTheme="minorHAnsi" w:hAnsiTheme="minorHAnsi" w:cstheme="minorHAnsi"/>
          <w:sz w:val="24"/>
          <w:szCs w:val="24"/>
        </w:rPr>
        <w:t>o</w:t>
      </w:r>
      <w:r w:rsidRPr="007F4A6D" w:rsidR="001455C3">
        <w:rPr>
          <w:rFonts w:asciiTheme="minorHAnsi" w:hAnsiTheme="minorHAnsi" w:cstheme="minorHAnsi"/>
          <w:sz w:val="24"/>
          <w:szCs w:val="24"/>
        </w:rPr>
        <w:t xml:space="preserve"> </w:t>
      </w:r>
      <w:r w:rsidRPr="007F4A6D" w:rsidR="00D510D8">
        <w:rPr>
          <w:rFonts w:asciiTheme="minorHAnsi" w:hAnsiTheme="minorHAnsi" w:cstheme="minorHAnsi"/>
          <w:sz w:val="24"/>
          <w:szCs w:val="24"/>
        </w:rPr>
        <w:t>Vereador</w:t>
      </w:r>
      <w:r w:rsidRPr="007F4A6D" w:rsidR="001077F2">
        <w:rPr>
          <w:rFonts w:asciiTheme="minorHAnsi" w:hAnsiTheme="minorHAnsi" w:cstheme="minorHAnsi"/>
          <w:sz w:val="24"/>
          <w:szCs w:val="24"/>
        </w:rPr>
        <w:t xml:space="preserve"> </w:t>
      </w:r>
      <w:r w:rsidRPr="007F4A6D" w:rsidR="001077F2">
        <w:rPr>
          <w:rFonts w:asciiTheme="minorHAnsi" w:hAnsiTheme="minorHAnsi" w:cstheme="minorHAnsi"/>
          <w:sz w:val="24"/>
          <w:szCs w:val="24"/>
        </w:rPr>
        <w:t>Cinoê</w:t>
      </w:r>
      <w:r w:rsidRPr="007F4A6D" w:rsidR="001077F2">
        <w:rPr>
          <w:rFonts w:asciiTheme="minorHAnsi" w:hAnsiTheme="minorHAnsi" w:cstheme="minorHAnsi"/>
          <w:sz w:val="24"/>
          <w:szCs w:val="24"/>
        </w:rPr>
        <w:t xml:space="preserve"> </w:t>
      </w:r>
      <w:r w:rsidRPr="007F4A6D" w:rsidR="001077F2">
        <w:rPr>
          <w:rFonts w:asciiTheme="minorHAnsi" w:hAnsiTheme="minorHAnsi" w:cstheme="minorHAnsi"/>
          <w:sz w:val="24"/>
          <w:szCs w:val="24"/>
        </w:rPr>
        <w:t>Duzo</w:t>
      </w:r>
      <w:r w:rsidRPr="007F4A6D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7F4A6D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7F4A6D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7F4A6D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7F4A6D">
      <w:pPr>
        <w:jc w:val="both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ab/>
      </w:r>
    </w:p>
    <w:p w:rsidR="00F77D8F" w:rsidRPr="007F4A6D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ab/>
      </w:r>
      <w:r w:rsidRPr="007F4A6D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A5404C" w:rsidRPr="007F4A6D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7F4A6D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7F4A6D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7F4A6D" w:rsidR="001077F2">
        <w:rPr>
          <w:rFonts w:asciiTheme="minorHAnsi" w:hAnsiTheme="minorHAnsi" w:cstheme="minorHAnsi"/>
          <w:sz w:val="24"/>
          <w:szCs w:val="24"/>
        </w:rPr>
        <w:t>Projeto de Lei nº 70</w:t>
      </w:r>
      <w:r w:rsidRPr="007F4A6D" w:rsidR="007A40F1">
        <w:rPr>
          <w:rFonts w:asciiTheme="minorHAnsi" w:hAnsiTheme="minorHAnsi" w:cstheme="minorHAnsi"/>
          <w:sz w:val="24"/>
          <w:szCs w:val="24"/>
        </w:rPr>
        <w:t>/2025</w:t>
      </w:r>
      <w:r w:rsidRPr="007F4A6D" w:rsidR="001455C3">
        <w:rPr>
          <w:rFonts w:asciiTheme="minorHAnsi" w:hAnsiTheme="minorHAnsi" w:cstheme="minorHAnsi"/>
          <w:sz w:val="24"/>
          <w:szCs w:val="24"/>
        </w:rPr>
        <w:t>, d</w:t>
      </w:r>
      <w:r w:rsidRPr="007F4A6D">
        <w:rPr>
          <w:rFonts w:asciiTheme="minorHAnsi" w:hAnsiTheme="minorHAnsi" w:cstheme="minorHAnsi"/>
          <w:sz w:val="24"/>
          <w:szCs w:val="24"/>
        </w:rPr>
        <w:t xml:space="preserve">e autoria do nobre Vereador </w:t>
      </w:r>
      <w:r w:rsidRPr="007F4A6D">
        <w:rPr>
          <w:rFonts w:asciiTheme="minorHAnsi" w:hAnsiTheme="minorHAnsi" w:cstheme="minorHAnsi"/>
          <w:sz w:val="24"/>
          <w:szCs w:val="24"/>
        </w:rPr>
        <w:t>Cinoê</w:t>
      </w:r>
      <w:r w:rsidRPr="007F4A6D">
        <w:rPr>
          <w:rFonts w:asciiTheme="minorHAnsi" w:hAnsiTheme="minorHAnsi" w:cstheme="minorHAnsi"/>
          <w:sz w:val="24"/>
          <w:szCs w:val="24"/>
        </w:rPr>
        <w:t xml:space="preserve"> </w:t>
      </w:r>
      <w:r w:rsidRPr="007F4A6D">
        <w:rPr>
          <w:rFonts w:asciiTheme="minorHAnsi" w:hAnsiTheme="minorHAnsi" w:cstheme="minorHAnsi"/>
          <w:sz w:val="24"/>
          <w:szCs w:val="24"/>
        </w:rPr>
        <w:t>Duzo</w:t>
      </w:r>
      <w:r w:rsidRPr="007F4A6D" w:rsidR="001455C3">
        <w:rPr>
          <w:rFonts w:asciiTheme="minorHAnsi" w:hAnsiTheme="minorHAnsi" w:cstheme="minorHAnsi"/>
          <w:sz w:val="24"/>
          <w:szCs w:val="24"/>
        </w:rPr>
        <w:t xml:space="preserve">, </w:t>
      </w:r>
      <w:r w:rsidRPr="007F4A6D">
        <w:rPr>
          <w:rFonts w:asciiTheme="minorHAnsi" w:hAnsiTheme="minorHAnsi" w:cstheme="minorHAnsi"/>
          <w:sz w:val="24"/>
          <w:szCs w:val="24"/>
        </w:rPr>
        <w:t>q</w:t>
      </w:r>
      <w:r w:rsidRPr="007F4A6D">
        <w:rPr>
          <w:rFonts w:asciiTheme="minorHAnsi" w:hAnsiTheme="minorHAnsi" w:cstheme="minorHAnsi"/>
          <w:sz w:val="24"/>
          <w:szCs w:val="24"/>
        </w:rPr>
        <w:t xml:space="preserve">ue propõe a declaração da nomenclatura da </w:t>
      </w:r>
      <w:r w:rsidRPr="007F4A6D">
        <w:rPr>
          <w:rFonts w:asciiTheme="minorHAnsi" w:hAnsiTheme="minorHAnsi" w:cstheme="minorHAnsi"/>
          <w:b/>
          <w:sz w:val="24"/>
          <w:szCs w:val="24"/>
        </w:rPr>
        <w:t>Banda Lyra Mogimiriana como</w:t>
      </w:r>
      <w:r w:rsidRPr="007F4A6D">
        <w:rPr>
          <w:rFonts w:asciiTheme="minorHAnsi" w:hAnsiTheme="minorHAnsi" w:cstheme="minorHAnsi"/>
          <w:sz w:val="24"/>
          <w:szCs w:val="24"/>
        </w:rPr>
        <w:t xml:space="preserve">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Patrimônio Histórico e Cultural de natureza imaterial</w:t>
      </w:r>
      <w:r w:rsidRPr="007F4A6D">
        <w:rPr>
          <w:rFonts w:asciiTheme="minorHAnsi" w:hAnsiTheme="minorHAnsi" w:cstheme="minorHAnsi"/>
          <w:sz w:val="24"/>
          <w:szCs w:val="24"/>
        </w:rPr>
        <w:t xml:space="preserve"> </w:t>
      </w:r>
      <w:r w:rsidRPr="007F4A6D">
        <w:rPr>
          <w:rFonts w:asciiTheme="minorHAnsi" w:hAnsiTheme="minorHAnsi" w:cstheme="minorHAnsi"/>
          <w:b/>
          <w:sz w:val="24"/>
          <w:szCs w:val="24"/>
        </w:rPr>
        <w:t>do município de Mogi Mirim.</w:t>
      </w:r>
    </w:p>
    <w:p w:rsidR="00A5404C" w:rsidRPr="00A5404C" w:rsidP="00A5404C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5404C">
        <w:rPr>
          <w:rFonts w:asciiTheme="minorHAnsi" w:hAnsiTheme="minorHAnsi" w:cstheme="minorHAnsi"/>
          <w:sz w:val="24"/>
          <w:szCs w:val="24"/>
        </w:rPr>
        <w:t xml:space="preserve">A proposição é acompanhada de uma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Justificativa</w:t>
      </w:r>
      <w:r w:rsidRPr="00A5404C">
        <w:rPr>
          <w:rFonts w:asciiTheme="minorHAnsi" w:hAnsiTheme="minorHAnsi" w:cstheme="minorHAnsi"/>
          <w:sz w:val="24"/>
          <w:szCs w:val="24"/>
        </w:rPr>
        <w:t xml:space="preserve"> detalhada, que narra a trajetória da Banda Musical Lyra Mogimiriana desde sua fundação em 1985. A entidade é apresentada como um centro cultural sem fins lucrativos com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forte atuação na educação musical gratuita</w:t>
      </w:r>
      <w:r w:rsidRPr="00A5404C">
        <w:rPr>
          <w:rFonts w:asciiTheme="minorHAnsi" w:hAnsiTheme="minorHAnsi" w:cstheme="minorHAnsi"/>
          <w:sz w:val="24"/>
          <w:szCs w:val="24"/>
        </w:rPr>
        <w:t xml:space="preserve">, atendendo cerca de 1.200 alunos. Destaca-se também a criação e consolidação do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FESTIMM (Festival de Inverno de Mogi Mirim)</w:t>
      </w:r>
      <w:r w:rsidRPr="00A5404C">
        <w:rPr>
          <w:rFonts w:asciiTheme="minorHAnsi" w:hAnsiTheme="minorHAnsi" w:cstheme="minorHAnsi"/>
          <w:sz w:val="24"/>
          <w:szCs w:val="24"/>
        </w:rPr>
        <w:t xml:space="preserve">, reconhecido por leis municipal e estadual, bem como a participação da banda em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eventos internacionais</w:t>
      </w:r>
      <w:r w:rsidRPr="00A5404C">
        <w:rPr>
          <w:rFonts w:asciiTheme="minorHAnsi" w:hAnsiTheme="minorHAnsi" w:cstheme="minorHAnsi"/>
          <w:sz w:val="24"/>
          <w:szCs w:val="24"/>
        </w:rPr>
        <w:t xml:space="preserve">, fortalecendo a imagem do município. A justificativa enfatiza o papel da Lyra Mogimiriana na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formação de indivíduos e na potencialização de talentos</w:t>
      </w:r>
      <w:r w:rsidRPr="00A5404C">
        <w:rPr>
          <w:rFonts w:asciiTheme="minorHAnsi" w:hAnsiTheme="minorHAnsi" w:cstheme="minorHAnsi"/>
          <w:sz w:val="24"/>
          <w:szCs w:val="24"/>
        </w:rPr>
        <w:t>, promovendo valores e princípios.</w:t>
      </w:r>
    </w:p>
    <w:p w:rsidR="00A5404C" w:rsidRPr="00A5404C" w:rsidP="00A5404C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5404C">
        <w:rPr>
          <w:rFonts w:asciiTheme="minorHAnsi" w:hAnsiTheme="minorHAnsi" w:cstheme="minorHAnsi"/>
          <w:sz w:val="24"/>
          <w:szCs w:val="24"/>
        </w:rPr>
        <w:t xml:space="preserve">Adicionalmente, foram considerados os apontamentos do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Parecer Jurídico da SGP – Soluções em Gestão Pública (Consulta nº 0371/2025)</w:t>
      </w:r>
      <w:r w:rsidRPr="00A5404C">
        <w:rPr>
          <w:rFonts w:asciiTheme="minorHAnsi" w:hAnsiTheme="minorHAnsi" w:cstheme="minorHAnsi"/>
          <w:sz w:val="24"/>
          <w:szCs w:val="24"/>
        </w:rPr>
        <w:t xml:space="preserve">, que analisou a constitucionalidade e a legalidade do projeto, e do </w:t>
      </w:r>
      <w:r w:rsidRPr="00A5404C">
        <w:rPr>
          <w:rFonts w:asciiTheme="minorHAnsi" w:hAnsiTheme="minorHAnsi" w:cstheme="minorHAnsi"/>
          <w:b/>
          <w:bCs/>
          <w:sz w:val="24"/>
          <w:szCs w:val="24"/>
        </w:rPr>
        <w:t>Parecer da Comissão de Justiça e Redação</w:t>
      </w:r>
      <w:r w:rsidRPr="00A5404C">
        <w:rPr>
          <w:rFonts w:asciiTheme="minorHAnsi" w:hAnsiTheme="minorHAnsi" w:cstheme="minorHAnsi"/>
          <w:sz w:val="24"/>
          <w:szCs w:val="24"/>
        </w:rPr>
        <w:t>, que opinou pela aprovação da matéria.</w:t>
      </w:r>
    </w:p>
    <w:p w:rsidR="00F44C72" w:rsidRPr="007F4A6D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F4A6D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A presente proposta legislativa se alinha de forma exemplar com as competências desta Comissão, abarcando as áreas 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Cultura, Educação e Assistência Social</w:t>
      </w:r>
      <w:r w:rsidRPr="007F4A6D">
        <w:rPr>
          <w:rFonts w:asciiTheme="minorHAnsi" w:hAnsiTheme="minorHAnsi" w:cstheme="minorHAnsi"/>
          <w:sz w:val="24"/>
          <w:szCs w:val="24"/>
        </w:rPr>
        <w:t>, de maneira intrinsecamente ligada. A análise integrada dos documentos fornecidos permite concluir pela sua pertinência e relevância para o município.</w:t>
      </w:r>
    </w:p>
    <w:p w:rsidR="007F4A6D" w:rsidRPr="007F4A6D" w:rsidP="007F4A6D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1. Relevância Cultural e a Natureza Imaterial do Reconhecimento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O Projeto de Lei visa declarar 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nomenclatura</w:t>
      </w:r>
      <w:r w:rsidRPr="007F4A6D">
        <w:rPr>
          <w:rFonts w:asciiTheme="minorHAnsi" w:hAnsiTheme="minorHAnsi" w:cstheme="minorHAnsi"/>
          <w:sz w:val="24"/>
          <w:szCs w:val="24"/>
        </w:rPr>
        <w:t xml:space="preserve"> da Banda Lyra Mogimiriana como Patrimônio Histórico e Cultural de natureza imaterial. A distinção entre um bem material e um imaterial é </w:t>
      </w:r>
      <w:r w:rsidRPr="007F4A6D">
        <w:rPr>
          <w:rFonts w:asciiTheme="minorHAnsi" w:hAnsiTheme="minorHAnsi" w:cstheme="minorHAnsi"/>
          <w:sz w:val="24"/>
          <w:szCs w:val="24"/>
        </w:rPr>
        <w:t>fundamental: enquanto o primeiro se refere a objetos físicos, o segundo engloba saberes, celebrações, formas de expressão, modos de fazer e de viver que são portadores de referência à identidade, memória e ação dos grupos sociais.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Neste sentido, 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nomenclatura "Banda Lyra Mogimiriana" representa mais do que um nome; ela simboliza quase quatro décadas de dedicação à arte musical, à formação de cidadãos e à projeção de Mogi Mirim.</w:t>
      </w:r>
      <w:r w:rsidRPr="007F4A6D">
        <w:rPr>
          <w:rFonts w:asciiTheme="minorHAnsi" w:hAnsiTheme="minorHAnsi" w:cstheme="minorHAnsi"/>
          <w:sz w:val="24"/>
          <w:szCs w:val="24"/>
        </w:rPr>
        <w:t xml:space="preserve"> A Justificativa detalha a história, a evolução e o impacto contínuo da banda, elementos que a consolidam como um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símbolo cultural vivo e dinâmico</w:t>
      </w:r>
      <w:r w:rsidRPr="007F4A6D">
        <w:rPr>
          <w:rFonts w:asciiTheme="minorHAnsi" w:hAnsiTheme="minorHAnsi" w:cstheme="minorHAnsi"/>
          <w:sz w:val="24"/>
          <w:szCs w:val="24"/>
        </w:rPr>
        <w:t xml:space="preserve"> de nossa cidade. O reconhecimento como patrimônio imaterial, conforme salienta o Parecer Jurídico, está em plena sintonia com o Art. 216 da Constituição Federal, que protege as manifestações das culturas populares e a memória dos grupos formadores da sociedade.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A criação do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FESTIMM</w:t>
      </w:r>
      <w:r w:rsidRPr="007F4A6D">
        <w:rPr>
          <w:rFonts w:asciiTheme="minorHAnsi" w:hAnsiTheme="minorHAnsi" w:cstheme="minorHAnsi"/>
          <w:sz w:val="24"/>
          <w:szCs w:val="24"/>
        </w:rPr>
        <w:t xml:space="preserve">, reconhecido por leis municipal e estadual, reforça o caráter cultural da banda, elevando-a a um patamar 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instituição promotora de eventos de grande relevância e visibilidade</w:t>
      </w:r>
      <w:r w:rsidRPr="007F4A6D">
        <w:rPr>
          <w:rFonts w:asciiTheme="minorHAnsi" w:hAnsiTheme="minorHAnsi" w:cstheme="minorHAnsi"/>
          <w:sz w:val="24"/>
          <w:szCs w:val="24"/>
        </w:rPr>
        <w:t xml:space="preserve">. A participação em intercâmbios internacionais e a turnê "Tons do Brasil" demonstram 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vitalidade e a capacidade da banda em transcender barreiras e divulgar a cultura mogimiriana em diferentes esferas.</w:t>
      </w:r>
    </w:p>
    <w:p w:rsidR="007F4A6D" w:rsidRPr="007F4A6D" w:rsidP="007F4A6D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2. Impacto na Educação e Formação Cidadã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oferta gratuita de cursos de música para aproximadamente 1.200 alunos</w:t>
      </w:r>
      <w:r w:rsidRPr="007F4A6D">
        <w:rPr>
          <w:rFonts w:asciiTheme="minorHAnsi" w:hAnsiTheme="minorHAnsi" w:cstheme="minorHAnsi"/>
          <w:sz w:val="24"/>
          <w:szCs w:val="24"/>
        </w:rPr>
        <w:t xml:space="preserve"> (crianças, jovens e adultos) é um dos pilares da atuação da Banda Lyra Mogimiriana e um ponto crucial para esta Comissão. Este trabalho representa uma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contribuição educacional de valor inestimável</w:t>
      </w:r>
      <w:r w:rsidRPr="007F4A6D">
        <w:rPr>
          <w:rFonts w:asciiTheme="minorHAnsi" w:hAnsiTheme="minorHAnsi" w:cstheme="minorHAnsi"/>
          <w:sz w:val="24"/>
          <w:szCs w:val="24"/>
        </w:rPr>
        <w:t xml:space="preserve">, que vai além do aprendizado técnico musical. A prática musical fomenta o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desenvolvimento cognitivo, a disciplina, a criatividade, a capacidade de trabalho em equipe e a socialização</w:t>
      </w:r>
      <w:r w:rsidRPr="007F4A6D">
        <w:rPr>
          <w:rFonts w:asciiTheme="minorHAnsi" w:hAnsiTheme="minorHAnsi" w:cstheme="minorHAnsi"/>
          <w:sz w:val="24"/>
          <w:szCs w:val="24"/>
        </w:rPr>
        <w:t xml:space="preserve">, componentes essenciais para 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formação integral do cidadão</w:t>
      </w:r>
      <w:r w:rsidRPr="007F4A6D">
        <w:rPr>
          <w:rFonts w:asciiTheme="minorHAnsi" w:hAnsiTheme="minorHAnsi" w:cstheme="minorHAnsi"/>
          <w:sz w:val="24"/>
          <w:szCs w:val="24"/>
        </w:rPr>
        <w:t>.</w:t>
      </w:r>
    </w:p>
    <w:p w:rsid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O reconhecimento da banda como patrimônio imaterial, ao valorizar sua existência e suas atividades, indiretamente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fortalece e legitima o seu papel educativo</w:t>
      </w:r>
      <w:r w:rsidRPr="007F4A6D">
        <w:rPr>
          <w:rFonts w:asciiTheme="minorHAnsi" w:hAnsiTheme="minorHAnsi" w:cstheme="minorHAnsi"/>
          <w:sz w:val="24"/>
          <w:szCs w:val="24"/>
        </w:rPr>
        <w:t>, incentivando a continuidade e a expansão de seus programas.</w:t>
      </w:r>
    </w:p>
    <w:p w:rsidR="007F4A6D" w:rsidRPr="007F4A6D" w:rsidP="007F4A6D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3. Contribuição para a Assistência Social e o Desenvolvimento Comunitário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Como entidade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cultural sem fins lucrativos</w:t>
      </w:r>
      <w:r w:rsidRPr="007F4A6D">
        <w:rPr>
          <w:rFonts w:asciiTheme="minorHAnsi" w:hAnsiTheme="minorHAnsi" w:cstheme="minorHAnsi"/>
          <w:sz w:val="24"/>
          <w:szCs w:val="24"/>
        </w:rPr>
        <w:t xml:space="preserve">, a Banda Lyra Mogimiriana desempenha um papel fundamental na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assistência social</w:t>
      </w:r>
      <w:r w:rsidRPr="007F4A6D">
        <w:rPr>
          <w:rFonts w:asciiTheme="minorHAnsi" w:hAnsiTheme="minorHAnsi" w:cstheme="minorHAnsi"/>
          <w:sz w:val="24"/>
          <w:szCs w:val="24"/>
        </w:rPr>
        <w:t xml:space="preserve"> do município. Ao proporcionar acesso gratuito à educação musical e à cultura, a instituição promove a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inclusão social</w:t>
      </w:r>
      <w:r w:rsidRPr="007F4A6D">
        <w:rPr>
          <w:rFonts w:asciiTheme="minorHAnsi" w:hAnsiTheme="minorHAnsi" w:cstheme="minorHAnsi"/>
          <w:sz w:val="24"/>
          <w:szCs w:val="24"/>
        </w:rPr>
        <w:t>, oferecendo oportunidades de desenvolvimento pessoal e profissional a indivíduos de diversas faixas etárias e extratos sociais.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A missão de formar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"indivíduos protagonistas e multiplicadores de seus valores e princípios"</w:t>
      </w:r>
      <w:r w:rsidRPr="007F4A6D">
        <w:rPr>
          <w:rFonts w:asciiTheme="minorHAnsi" w:hAnsiTheme="minorHAnsi" w:cstheme="minorHAnsi"/>
          <w:sz w:val="24"/>
          <w:szCs w:val="24"/>
        </w:rPr>
        <w:t xml:space="preserve">, conforme expresso em sua justificativa, alinha-se diretamente com os objetivos 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promoção do bem-estar social e fortalecimento comunitário</w:t>
      </w:r>
      <w:r w:rsidRPr="007F4A6D">
        <w:rPr>
          <w:rFonts w:asciiTheme="minorHAnsi" w:hAnsiTheme="minorHAnsi" w:cstheme="minorHAnsi"/>
          <w:sz w:val="24"/>
          <w:szCs w:val="24"/>
        </w:rPr>
        <w:t>. A banda, portanto, atua como um agente de transformação social, utilizando a arte como ferramenta para a construção de uma sociedade mais justa e participativa.</w:t>
      </w:r>
    </w:p>
    <w:p w:rsidR="007F4A6D" w:rsidRPr="007F4A6D" w:rsidP="007F4A6D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4. Embasamento Jurídico e Constitucional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O Parecer Jurídico da SGP e o Parecer da Comissão de Justiça e Redação forneceram um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sólido embasamento jurídico</w:t>
      </w:r>
      <w:r w:rsidRPr="007F4A6D">
        <w:rPr>
          <w:rFonts w:asciiTheme="minorHAnsi" w:hAnsiTheme="minorHAnsi" w:cstheme="minorHAnsi"/>
          <w:sz w:val="24"/>
          <w:szCs w:val="24"/>
        </w:rPr>
        <w:t xml:space="preserve"> para a proposição, corroborando sua constitucionalidade e legalidade:</w:t>
      </w:r>
    </w:p>
    <w:p w:rsidR="007F4A6D" w:rsidRPr="007F4A6D" w:rsidP="007F4A6D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Competência Municipal:</w:t>
      </w:r>
      <w:r w:rsidRPr="007F4A6D">
        <w:rPr>
          <w:rFonts w:asciiTheme="minorHAnsi" w:hAnsiTheme="minorHAnsi" w:cstheme="minorHAnsi"/>
          <w:sz w:val="24"/>
          <w:szCs w:val="24"/>
        </w:rPr>
        <w:t xml:space="preserve"> Conforme o Art. 30, incisos I e IX, da Constituição Federal, os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Municípios possuem competência para legislar sobre interesse local e proteger o patrimônio histórico-cultural local</w:t>
      </w:r>
      <w:r w:rsidRPr="007F4A6D">
        <w:rPr>
          <w:rFonts w:asciiTheme="minorHAnsi" w:hAnsiTheme="minorHAnsi" w:cstheme="minorHAnsi"/>
          <w:sz w:val="24"/>
          <w:szCs w:val="24"/>
        </w:rPr>
        <w:t>, observada a legislação federal e estadual. O Parecer Jurídico, citando Nelson Nery Júnior, ressalta que os interesses locais, quando predominantes, têm validade sobre as esferas federal e estadual. A declaração de patrimônio imaterial é, inquestionavelmente, um interesse local.</w:t>
      </w:r>
    </w:p>
    <w:p w:rsidR="007F4A6D" w:rsidRPr="007F4A6D" w:rsidP="007F4A6D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Proteção ao Patrimônio Cultural:</w:t>
      </w:r>
      <w:r w:rsidRPr="007F4A6D">
        <w:rPr>
          <w:rFonts w:asciiTheme="minorHAnsi" w:hAnsiTheme="minorHAnsi" w:cstheme="minorHAnsi"/>
          <w:sz w:val="24"/>
          <w:szCs w:val="24"/>
        </w:rPr>
        <w:t xml:space="preserve"> Os </w:t>
      </w:r>
      <w:r w:rsidRPr="007F4A6D">
        <w:rPr>
          <w:rFonts w:asciiTheme="minorHAnsi" w:hAnsiTheme="minorHAnsi" w:cstheme="minorHAnsi"/>
          <w:sz w:val="24"/>
          <w:szCs w:val="24"/>
        </w:rPr>
        <w:t>Arts</w:t>
      </w:r>
      <w:r w:rsidRPr="007F4A6D">
        <w:rPr>
          <w:rFonts w:asciiTheme="minorHAnsi" w:hAnsiTheme="minorHAnsi" w:cstheme="minorHAnsi"/>
          <w:sz w:val="24"/>
          <w:szCs w:val="24"/>
        </w:rPr>
        <w:t xml:space="preserve">. 215 e 216 da Constituição Federal estabelecem que o Estado garantirá o pleno exercício dos direitos culturais, apoiará a valorização e difusão das manifestações culturais, e protegerá o patrimônio cultural brasileiro,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tanto material quanto imaterial</w:t>
      </w:r>
      <w:r w:rsidRPr="007F4A6D">
        <w:rPr>
          <w:rFonts w:asciiTheme="minorHAnsi" w:hAnsiTheme="minorHAnsi" w:cstheme="minorHAnsi"/>
          <w:sz w:val="24"/>
          <w:szCs w:val="24"/>
        </w:rPr>
        <w:t xml:space="preserve">. A citação de </w:t>
      </w:r>
      <w:r w:rsidRPr="007F4A6D">
        <w:rPr>
          <w:rFonts w:asciiTheme="minorHAnsi" w:hAnsiTheme="minorHAnsi" w:cstheme="minorHAnsi"/>
          <w:sz w:val="24"/>
          <w:szCs w:val="24"/>
        </w:rPr>
        <w:t>Fiorillo</w:t>
      </w:r>
      <w:r w:rsidRPr="007F4A6D">
        <w:rPr>
          <w:rFonts w:asciiTheme="minorHAnsi" w:hAnsiTheme="minorHAnsi" w:cstheme="minorHAnsi"/>
          <w:sz w:val="24"/>
          <w:szCs w:val="24"/>
        </w:rPr>
        <w:t xml:space="preserve"> e Ferreira no Parecer Jurídico reforça que os bens imateriais, como formas de expressão e modos de viver, possuem proteção constitucional.</w:t>
      </w:r>
    </w:p>
    <w:p w:rsidR="007F4A6D" w:rsidRPr="007F4A6D" w:rsidP="007F4A6D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Iniciativa Legislativa:</w:t>
      </w:r>
      <w:r w:rsidRPr="007F4A6D">
        <w:rPr>
          <w:rFonts w:asciiTheme="minorHAnsi" w:hAnsiTheme="minorHAnsi" w:cstheme="minorHAnsi"/>
          <w:sz w:val="24"/>
          <w:szCs w:val="24"/>
        </w:rPr>
        <w:t xml:space="preserve"> O Parecer Jurídico, com base na doutrina de José Miguel Garcia Medina e Vicente Paulo e Marcelo Alexandrino, além de jurisprudência do TJSP, demonstra que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projetos de lei sobre proteção do patrimônio cultural local, quando não versam sobre matérias de reserva exclusiva do Executivo</w:t>
      </w:r>
      <w:r w:rsidRPr="007F4A6D">
        <w:rPr>
          <w:rFonts w:asciiTheme="minorHAnsi" w:hAnsiTheme="minorHAnsi" w:cstheme="minorHAnsi"/>
          <w:sz w:val="24"/>
          <w:szCs w:val="24"/>
        </w:rPr>
        <w:t xml:space="preserve">, como regime jurídico de servidores ou atribuições de órgãos administrativos, podem ser 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iniciativa concorrente</w:t>
      </w:r>
      <w:r w:rsidRPr="007F4A6D">
        <w:rPr>
          <w:rFonts w:asciiTheme="minorHAnsi" w:hAnsiTheme="minorHAnsi" w:cstheme="minorHAnsi"/>
          <w:sz w:val="24"/>
          <w:szCs w:val="24"/>
        </w:rPr>
        <w:t xml:space="preserve">, ou seja, apresentados por parlamentares. Os precedentes citados em </w:t>
      </w:r>
      <w:r w:rsidRPr="007F4A6D">
        <w:rPr>
          <w:rFonts w:asciiTheme="minorHAnsi" w:hAnsiTheme="minorHAnsi" w:cstheme="minorHAnsi"/>
          <w:sz w:val="24"/>
          <w:szCs w:val="24"/>
        </w:rPr>
        <w:t>ADIs</w:t>
      </w:r>
      <w:r w:rsidRPr="007F4A6D">
        <w:rPr>
          <w:rFonts w:asciiTheme="minorHAnsi" w:hAnsiTheme="minorHAnsi" w:cstheme="minorHAnsi"/>
          <w:sz w:val="24"/>
          <w:szCs w:val="24"/>
        </w:rPr>
        <w:t xml:space="preserve"> (Ação Direta de Inconstitucionalidade) confirmam a legitimidade de leis municipais de iniciativa parlamentar para reconhecer patrimônios culturais imateriais.</w:t>
      </w:r>
    </w:p>
    <w:p w:rsidR="007F4A6D" w:rsidRPr="007F4A6D" w:rsidP="007F4A6D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>O Estatuto da Cidade (Lei nº 10.257/01)</w:t>
      </w:r>
      <w:r w:rsidRPr="007F4A6D">
        <w:rPr>
          <w:rFonts w:asciiTheme="minorHAnsi" w:hAnsiTheme="minorHAnsi" w:cstheme="minorHAnsi"/>
          <w:sz w:val="24"/>
          <w:szCs w:val="24"/>
        </w:rPr>
        <w:t xml:space="preserve"> também reforça a necessidade de os Municípios promoverem a proteção do meio ambiente construído e do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patrimônio cultural</w:t>
      </w:r>
      <w:r w:rsidRPr="007F4A6D">
        <w:rPr>
          <w:rFonts w:asciiTheme="minorHAnsi" w:hAnsiTheme="minorHAnsi" w:cstheme="minorHAnsi"/>
          <w:sz w:val="24"/>
          <w:szCs w:val="24"/>
        </w:rPr>
        <w:t>.</w:t>
      </w:r>
    </w:p>
    <w:p w:rsidR="007F4A6D" w:rsidRPr="007F4A6D" w:rsidP="007F4A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Portanto, tanto do ponto de vista da competência legislativa quanto da iniciativa parlamentar, o Projeto de Lei nº 70/2025 está em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plena conformidade com a Constituição Federa</w:t>
      </w:r>
      <w:r w:rsidR="0022382E">
        <w:rPr>
          <w:rFonts w:asciiTheme="minorHAnsi" w:hAnsiTheme="minorHAnsi" w:cstheme="minorHAnsi"/>
          <w:b/>
          <w:bCs/>
          <w:sz w:val="24"/>
          <w:szCs w:val="24"/>
        </w:rPr>
        <w:t>l e com a jurisprudência pertinente.</w:t>
      </w:r>
    </w:p>
    <w:p w:rsidR="0030304B" w:rsidRPr="007F4A6D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C5E29" w:rsidRPr="007F4A6D" w:rsidP="009C5E29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7F4A6D">
        <w:rPr>
          <w:rFonts w:asciiTheme="minorHAnsi" w:hAnsiTheme="minorHAnsi" w:cstheme="minorHAnsi"/>
          <w:b/>
          <w:bCs/>
          <w:sz w:val="24"/>
          <w:szCs w:val="24"/>
        </w:rPr>
        <w:t xml:space="preserve">Conveniência e Oportunidade </w:t>
      </w:r>
    </w:p>
    <w:p w:rsidR="009C5E29" w:rsidRPr="00FA6027" w:rsidP="00FA602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F4A6D">
        <w:rPr>
          <w:rFonts w:asciiTheme="minorHAnsi" w:hAnsiTheme="minorHAnsi" w:cstheme="minorHAnsi"/>
          <w:sz w:val="24"/>
          <w:szCs w:val="24"/>
        </w:rPr>
        <w:t xml:space="preserve">A presente proposição reveste-se de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extrema conveniência e oportunidade</w:t>
      </w:r>
      <w:r w:rsidRPr="007F4A6D">
        <w:rPr>
          <w:rFonts w:asciiTheme="minorHAnsi" w:hAnsiTheme="minorHAnsi" w:cstheme="minorHAnsi"/>
          <w:sz w:val="24"/>
          <w:szCs w:val="24"/>
        </w:rPr>
        <w:t xml:space="preserve"> para o Município de Mogi Mirim, impactando diretamente as áreas de atuação desta Comissão: </w:t>
      </w:r>
      <w:r w:rsidRPr="007F4A6D">
        <w:rPr>
          <w:rFonts w:asciiTheme="minorHAnsi" w:hAnsiTheme="minorHAnsi" w:cstheme="minorHAnsi"/>
          <w:b/>
          <w:bCs/>
          <w:sz w:val="24"/>
          <w:szCs w:val="24"/>
        </w:rPr>
        <w:t>Educação, Saúde, Cultura, Esporte e Assistência Social</w:t>
      </w:r>
      <w:r w:rsidRPr="007F4A6D">
        <w:rPr>
          <w:rFonts w:asciiTheme="minorHAnsi" w:hAnsiTheme="minorHAnsi" w:cstheme="minorHAnsi"/>
          <w:sz w:val="24"/>
          <w:szCs w:val="24"/>
        </w:rPr>
        <w:t>.</w:t>
      </w:r>
    </w:p>
    <w:p w:rsidR="001A40F9" w:rsidP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 w:rsidRPr="004F6522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B54DE" w:rsidRPr="0013259D" w:rsidP="00AB54D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 w:rsidR="00876412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 w:rsidR="00A10C9C">
        <w:rPr>
          <w:rFonts w:eastAsia="Arial" w:asciiTheme="minorHAnsi" w:hAnsiTheme="minorHAnsi" w:cstheme="minorHAnsi"/>
          <w:color w:val="000000"/>
          <w:sz w:val="24"/>
          <w:szCs w:val="24"/>
        </w:rPr>
        <w:t>bemendas ao Projet</w:t>
      </w:r>
      <w:r w:rsidR="007F4A6D">
        <w:rPr>
          <w:rFonts w:eastAsia="Arial" w:asciiTheme="minorHAnsi" w:hAnsiTheme="minorHAnsi" w:cstheme="minorHAnsi"/>
          <w:color w:val="000000"/>
          <w:sz w:val="24"/>
          <w:szCs w:val="24"/>
        </w:rPr>
        <w:t>o em análise</w:t>
      </w:r>
      <w:r w:rsidR="001A40F9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22382E" w:rsidRPr="0057073E" w:rsidP="0022382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57073E">
        <w:rPr>
          <w:rFonts w:asciiTheme="minorHAnsi" w:hAnsiTheme="minorHAnsi" w:cstheme="minorHAnsi"/>
          <w:sz w:val="24"/>
          <w:szCs w:val="24"/>
        </w:rPr>
        <w:t xml:space="preserve">Diante do exposto, e considerando a relevância insubstituível da Banda Lyra Mogimiriana para os pilares da </w:t>
      </w:r>
      <w:r w:rsidRPr="0057073E">
        <w:rPr>
          <w:rFonts w:asciiTheme="minorHAnsi" w:hAnsiTheme="minorHAnsi" w:cstheme="minorHAnsi"/>
          <w:b/>
          <w:bCs/>
          <w:sz w:val="24"/>
          <w:szCs w:val="24"/>
        </w:rPr>
        <w:t>Cultura, Educação e Assistência Social</w:t>
      </w:r>
      <w:r w:rsidRPr="0057073E">
        <w:rPr>
          <w:rFonts w:asciiTheme="minorHAnsi" w:hAnsiTheme="minorHAnsi" w:cstheme="minorHAnsi"/>
          <w:sz w:val="24"/>
          <w:szCs w:val="24"/>
        </w:rPr>
        <w:t xml:space="preserve"> do município de Mogi Mirim, esta Comissão de Saúde, Educação, Cultura, Esporte e Assistência Social manifesta seu </w:t>
      </w:r>
      <w:r w:rsidRPr="0057073E">
        <w:rPr>
          <w:rFonts w:asciiTheme="minorHAnsi" w:hAnsiTheme="minorHAnsi" w:cstheme="minorHAnsi"/>
          <w:b/>
          <w:bCs/>
          <w:sz w:val="24"/>
          <w:szCs w:val="24"/>
        </w:rPr>
        <w:t>PARECER FAVORÁVEL</w:t>
      </w:r>
      <w:r w:rsidRPr="0057073E">
        <w:rPr>
          <w:rFonts w:asciiTheme="minorHAnsi" w:hAnsiTheme="minorHAnsi" w:cstheme="minorHAnsi"/>
          <w:sz w:val="24"/>
          <w:szCs w:val="24"/>
        </w:rPr>
        <w:t xml:space="preserve"> à aprovação do Projeto de Lei nº 70/2025.</w:t>
      </w:r>
    </w:p>
    <w:p w:rsidR="0022382E" w:rsidRPr="0057073E" w:rsidP="0022382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57073E">
        <w:rPr>
          <w:rFonts w:asciiTheme="minorHAnsi" w:hAnsiTheme="minorHAnsi" w:cstheme="minorHAnsi"/>
          <w:sz w:val="24"/>
          <w:szCs w:val="24"/>
        </w:rPr>
        <w:t>A proposição não só atende aos dispositivos constitucionais e legais pertinentes à proteção do patrimônio cultural imaterial, como também reconhece a atuação transformadora da Banda Lyra Mogimiriana em prol da comunidade mogimiriana, fortalecendo a identidade local e promovendo o desenvolvimento integral de seus cidadãos.</w:t>
      </w:r>
    </w:p>
    <w:p w:rsidR="0022382E" w:rsidRPr="0057073E" w:rsidP="0022382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57073E">
        <w:rPr>
          <w:rFonts w:asciiTheme="minorHAnsi" w:hAnsiTheme="minorHAnsi" w:cstheme="minorHAnsi"/>
          <w:sz w:val="24"/>
          <w:szCs w:val="24"/>
        </w:rPr>
        <w:t>A aprovação deste projeto é um ato de justiça com a história e a cultura de Mogi Mirim, garantindo a salvaguarda de um bem imaterial de valor inestimável.</w:t>
      </w: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P="0022382E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A10C9C" w:rsidRPr="0022382E" w:rsidP="0022382E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40F9" w:rsidP="001A40F9">
      <w:pPr>
        <w:suppressAutoHyphens w:val="0"/>
        <w:spacing w:before="100" w:beforeAutospacing="1" w:after="100" w:afterAutospacing="1"/>
        <w:rPr>
          <w:b/>
          <w:bCs/>
        </w:rPr>
      </w:pPr>
      <w:r w:rsidRPr="001A40F9">
        <w:rPr>
          <w:b/>
          <w:bCs/>
        </w:rPr>
        <w:t>REFERÊNCIAS: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BRASIL. </w:t>
      </w:r>
      <w:r w:rsidRPr="0057073E">
        <w:rPr>
          <w:b/>
          <w:bCs/>
        </w:rPr>
        <w:t>Constituição da República Federativa do Brasil de 1988</w:t>
      </w:r>
      <w:r w:rsidRPr="0057073E">
        <w:t xml:space="preserve">. Brasília, DF: Senado Federal, 1988. Disponível em: </w:t>
      </w:r>
      <w:r w:rsidRPr="0057073E">
        <w:t>[Inserir</w:t>
      </w:r>
      <w:r w:rsidRPr="0057073E">
        <w:t xml:space="preserve"> link oficial, se disponível]. Acesso em: [Data de Acesso].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FIORILLO, Celso Antônio Pacheco; FERREIRA, Renata Marques. </w:t>
      </w:r>
      <w:r w:rsidRPr="0057073E">
        <w:rPr>
          <w:b/>
          <w:bCs/>
        </w:rPr>
        <w:t>Tutela Jurídica do Patrimônio Cultural Brasileiro em Face do Direito Ambiental Constitucional</w:t>
      </w:r>
      <w:r w:rsidRPr="0057073E">
        <w:t xml:space="preserve">. Rio de Janeiro: </w:t>
      </w:r>
      <w:r w:rsidRPr="0057073E">
        <w:t>Lumen</w:t>
      </w:r>
      <w:r w:rsidRPr="0057073E">
        <w:t xml:space="preserve"> Juris, 2018.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GUSMÃO, Paula; SILVA, Ana Clara. </w:t>
      </w:r>
      <w:r w:rsidRPr="0057073E">
        <w:rPr>
          <w:i/>
          <w:iCs/>
        </w:rPr>
        <w:t>Os benefícios do aprendizado musical na infância e adolescência</w:t>
      </w:r>
      <w:r w:rsidRPr="0057073E">
        <w:t>. Revista Brasileira de Educação Musical, v. 15, n. 2, p. 45-62, 2019. (Nota: Esta referência é ilustrativa, representando um tipo de estudo que poderia ser buscado. Uma pesquisa mais aprofundada seria necessária para identificar publicações específicas e relevantes.)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MEDINA, José Miguel Garcia. </w:t>
      </w:r>
      <w:r w:rsidRPr="0057073E">
        <w:rPr>
          <w:b/>
          <w:bCs/>
        </w:rPr>
        <w:t>Constituição Federal Comentada</w:t>
      </w:r>
      <w:r w:rsidRPr="0057073E">
        <w:t>. 4. ed. São Paulo: Revista dos Tribunais, 2019.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MOGI MIRIM. </w:t>
      </w:r>
      <w:r w:rsidRPr="0057073E">
        <w:rPr>
          <w:b/>
          <w:bCs/>
        </w:rPr>
        <w:t>Projeto de Lei nº 70/2025</w:t>
      </w:r>
      <w:r w:rsidRPr="0057073E">
        <w:t>. Câmara Municipal de Mogi Mirim, 2025a. (Documento de Referência)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MOGI MIRIM. </w:t>
      </w:r>
      <w:r w:rsidRPr="0057073E">
        <w:rPr>
          <w:b/>
          <w:bCs/>
        </w:rPr>
        <w:t>Resolução nº 276, de 09 de novembro de 2010</w:t>
      </w:r>
      <w:r w:rsidRPr="0057073E">
        <w:t>. Dispõe sobre o Regimento Interno da Câmara Municipal de Mogi Mirim. Mogi Mirim: Câmara Municipal, 2010.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NERY JÚNIOR, Nelson. </w:t>
      </w:r>
      <w:r w:rsidRPr="0057073E">
        <w:rPr>
          <w:b/>
          <w:bCs/>
        </w:rPr>
        <w:t>Comentários à Constituição Federal de 1988</w:t>
      </w:r>
      <w:r w:rsidRPr="0057073E">
        <w:t>. Rio de Janeiro: Forense, 2009.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PAULO, Vicente; ALEXANDRINO, Marcelo. </w:t>
      </w:r>
      <w:r w:rsidRPr="0057073E">
        <w:rPr>
          <w:b/>
          <w:bCs/>
        </w:rPr>
        <w:t>Direito Constitucional Descomplicado</w:t>
      </w:r>
      <w:r w:rsidRPr="0057073E">
        <w:t>. 19. ed. Rio de Janeiro: Método, 2020.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SGP – SOLUÇÕES EM GESTÃO PÚBLICA. </w:t>
      </w:r>
      <w:r w:rsidRPr="0057073E">
        <w:rPr>
          <w:b/>
          <w:bCs/>
        </w:rPr>
        <w:t>Parecer jurídico – Projeto de Lei nº 70/2025</w:t>
      </w:r>
      <w:r w:rsidRPr="0057073E">
        <w:t>. Consulta nº 0371/2025. São Paulo: SGP, 2025. (Documento de Referência)</w:t>
      </w:r>
    </w:p>
    <w:p w:rsidR="0022382E" w:rsidRPr="0057073E" w:rsidP="0022382E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TJSP – Tribunal de Justiça do Estado de São Paulo. </w:t>
      </w:r>
      <w:r w:rsidRPr="0057073E">
        <w:rPr>
          <w:b/>
          <w:bCs/>
        </w:rPr>
        <w:t>Ação Direta de Inconstitucionalidade nº 2261493-96.2019.8.26.0000</w:t>
      </w:r>
      <w:r w:rsidRPr="0057073E">
        <w:t xml:space="preserve">. Rel. Des. Francisco </w:t>
      </w:r>
      <w:r w:rsidRPr="0057073E">
        <w:t>Casconi</w:t>
      </w:r>
      <w:r w:rsidRPr="0057073E">
        <w:t>, j. 08 jul. 2020.</w:t>
      </w:r>
    </w:p>
    <w:p w:rsidR="0022382E" w:rsidRPr="001A40F9" w:rsidP="001A40F9">
      <w:pPr>
        <w:numPr>
          <w:ilvl w:val="0"/>
          <w:numId w:val="23"/>
        </w:numPr>
        <w:suppressAutoHyphens w:val="0"/>
        <w:spacing w:before="100" w:beforeAutospacing="1" w:after="100" w:afterAutospacing="1"/>
      </w:pPr>
      <w:r w:rsidRPr="0057073E">
        <w:t xml:space="preserve">TJSP – Tribunal de Justiça do Estado de São Paulo. </w:t>
      </w:r>
      <w:r w:rsidRPr="0057073E">
        <w:rPr>
          <w:b/>
          <w:bCs/>
        </w:rPr>
        <w:t>Ação Direta de Inconstitucionalidade nº 2199673-47.2017.8.26.0000</w:t>
      </w:r>
      <w:r w:rsidRPr="0057073E">
        <w:t>. Rel. Des. Péricles Piza, j. 04 abr. 2018.</w:t>
      </w: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22382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70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1A40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22382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CINOÊ DUZO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4C0216" w:rsidRPr="00D70F5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D70F56" w:rsidR="00D510D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D70F56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D70F56" w:rsidR="00D510D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D70F56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D70F56" w:rsidR="00D510D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D70F56" w:rsidR="00D510D8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favoravelmente</w:t>
      </w:r>
      <w:r w:rsidRPr="00D70F56" w:rsidR="00D70F56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 a aprovação do Projeto de Lei nº 70/2025.</w:t>
      </w:r>
    </w:p>
    <w:p w:rsidR="0022382E" w:rsidRPr="00D70F56" w:rsidP="0022382E">
      <w:pPr>
        <w:pStyle w:val="NormalWeb"/>
        <w:rPr>
          <w:rFonts w:asciiTheme="minorHAnsi" w:hAnsiTheme="minorHAnsi" w:cstheme="minorHAnsi"/>
        </w:rPr>
      </w:pPr>
      <w:r w:rsidRPr="00D70F56">
        <w:rPr>
          <w:rFonts w:asciiTheme="minorHAnsi" w:hAnsiTheme="minorHAnsi" w:cstheme="minorHAnsi"/>
        </w:rPr>
        <w:t>A proposição está em total consonância com os objetivos de valorização do patrimônio imaterial, de promoção da educação e de fomento à inclusão social, atributos essenciais para o desenvolvimento integral de nossa comunidade.</w:t>
      </w:r>
    </w:p>
    <w:p w:rsidR="00F77D8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D70F5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D70F56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D70F56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D70F56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D70F56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D70F56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D70F56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D70F56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D70F56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D70F56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0315D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D70F56">
        <w:rPr>
          <w:rFonts w:asciiTheme="minorHAnsi" w:hAnsiTheme="minorHAnsi" w:cstheme="minorHAnsi"/>
          <w:b/>
          <w:iCs/>
          <w:sz w:val="24"/>
          <w:szCs w:val="24"/>
        </w:rPr>
        <w:t>Comissões, 09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D70F56">
        <w:rPr>
          <w:rFonts w:asciiTheme="minorHAnsi" w:hAnsiTheme="minorHAnsi" w:cstheme="minorHAnsi"/>
          <w:b/>
          <w:iCs/>
          <w:sz w:val="24"/>
          <w:szCs w:val="24"/>
        </w:rPr>
        <w:t>setembro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  <w:r w:rsidR="00D70F56">
        <w:rPr>
          <w:rFonts w:eastAsia="Arial" w:asciiTheme="minorHAnsi" w:hAnsiTheme="minorHAnsi" w:cstheme="minorHAnsi"/>
          <w:iCs/>
          <w:sz w:val="28"/>
          <w:szCs w:val="28"/>
        </w:rPr>
        <w:t xml:space="preserve"> (relator)</w:t>
      </w:r>
      <w:bookmarkStart w:id="0" w:name="_GoBack"/>
      <w:bookmarkEnd w:id="0"/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10A3"/>
    <w:multiLevelType w:val="multilevel"/>
    <w:tmpl w:val="EBF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F4CA8"/>
    <w:multiLevelType w:val="multilevel"/>
    <w:tmpl w:val="266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B29DA"/>
    <w:multiLevelType w:val="multilevel"/>
    <w:tmpl w:val="A11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86B5B"/>
    <w:multiLevelType w:val="multilevel"/>
    <w:tmpl w:val="7AC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0"/>
  </w:num>
  <w:num w:numId="7">
    <w:abstractNumId w:val="19"/>
  </w:num>
  <w:num w:numId="8">
    <w:abstractNumId w:val="11"/>
  </w:num>
  <w:num w:numId="9">
    <w:abstractNumId w:val="5"/>
  </w:num>
  <w:num w:numId="10">
    <w:abstractNumId w:val="21"/>
  </w:num>
  <w:num w:numId="11">
    <w:abstractNumId w:val="15"/>
  </w:num>
  <w:num w:numId="12">
    <w:abstractNumId w:val="18"/>
  </w:num>
  <w:num w:numId="13">
    <w:abstractNumId w:val="2"/>
  </w:num>
  <w:num w:numId="14">
    <w:abstractNumId w:val="10"/>
  </w:num>
  <w:num w:numId="15">
    <w:abstractNumId w:val="16"/>
  </w:num>
  <w:num w:numId="16">
    <w:abstractNumId w:val="22"/>
  </w:num>
  <w:num w:numId="17">
    <w:abstractNumId w:val="17"/>
  </w:num>
  <w:num w:numId="18">
    <w:abstractNumId w:val="14"/>
  </w:num>
  <w:num w:numId="19">
    <w:abstractNumId w:val="8"/>
  </w:num>
  <w:num w:numId="20">
    <w:abstractNumId w:val="1"/>
  </w:num>
  <w:num w:numId="21">
    <w:abstractNumId w:val="12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03696"/>
    <w:rsid w:val="00033894"/>
    <w:rsid w:val="000628CA"/>
    <w:rsid w:val="000D3816"/>
    <w:rsid w:val="000E55D8"/>
    <w:rsid w:val="001077F2"/>
    <w:rsid w:val="0013259D"/>
    <w:rsid w:val="00145113"/>
    <w:rsid w:val="001455C3"/>
    <w:rsid w:val="00183A77"/>
    <w:rsid w:val="001A2418"/>
    <w:rsid w:val="001A3B99"/>
    <w:rsid w:val="001A40F9"/>
    <w:rsid w:val="001A632E"/>
    <w:rsid w:val="001A7AAC"/>
    <w:rsid w:val="001C6BDB"/>
    <w:rsid w:val="00200B4A"/>
    <w:rsid w:val="0022382E"/>
    <w:rsid w:val="00247E2C"/>
    <w:rsid w:val="002B025D"/>
    <w:rsid w:val="002C1B20"/>
    <w:rsid w:val="0030304B"/>
    <w:rsid w:val="0031790B"/>
    <w:rsid w:val="00331083"/>
    <w:rsid w:val="00351101"/>
    <w:rsid w:val="003C0C62"/>
    <w:rsid w:val="003D6758"/>
    <w:rsid w:val="00481B36"/>
    <w:rsid w:val="004C0216"/>
    <w:rsid w:val="004F6522"/>
    <w:rsid w:val="0057073E"/>
    <w:rsid w:val="006F371C"/>
    <w:rsid w:val="006F3958"/>
    <w:rsid w:val="00763E5C"/>
    <w:rsid w:val="007A40F1"/>
    <w:rsid w:val="007F4A6D"/>
    <w:rsid w:val="00826348"/>
    <w:rsid w:val="008649A4"/>
    <w:rsid w:val="00876412"/>
    <w:rsid w:val="008A15DA"/>
    <w:rsid w:val="008B7EE7"/>
    <w:rsid w:val="0095654A"/>
    <w:rsid w:val="009C5E29"/>
    <w:rsid w:val="00A0315D"/>
    <w:rsid w:val="00A10C9C"/>
    <w:rsid w:val="00A2285C"/>
    <w:rsid w:val="00A5404C"/>
    <w:rsid w:val="00AB54DE"/>
    <w:rsid w:val="00B06988"/>
    <w:rsid w:val="00CC4004"/>
    <w:rsid w:val="00CC422D"/>
    <w:rsid w:val="00CD6D39"/>
    <w:rsid w:val="00D304E3"/>
    <w:rsid w:val="00D510D8"/>
    <w:rsid w:val="00D70F56"/>
    <w:rsid w:val="00D75F46"/>
    <w:rsid w:val="00D97274"/>
    <w:rsid w:val="00DE256D"/>
    <w:rsid w:val="00DF6E2F"/>
    <w:rsid w:val="00DF77D1"/>
    <w:rsid w:val="00E94CAF"/>
    <w:rsid w:val="00EB3B08"/>
    <w:rsid w:val="00EE4E99"/>
    <w:rsid w:val="00F44C72"/>
    <w:rsid w:val="00F61C35"/>
    <w:rsid w:val="00F77D8F"/>
    <w:rsid w:val="00FA6027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1797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2025-04-30T16:25:00Z</cp:lastPrinted>
  <dcterms:created xsi:type="dcterms:W3CDTF">2025-09-09T19:35:00Z</dcterms:created>
  <dcterms:modified xsi:type="dcterms:W3CDTF">2025-09-09T19:35:00Z</dcterms:modified>
  <dc:language>pt-BR</dc:language>
</cp:coreProperties>
</file>