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793D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Nº 1 ao Projeto de Lei Nº 123/2025</w:t>
      </w:r>
      <w:r>
        <w:rPr>
          <w:b/>
          <w:sz w:val="24"/>
          <w:szCs w:val="24"/>
          <w:u w:val="single"/>
        </w:rPr>
        <w:t>Emenda Nº 1 ao Projeto de Lei Nº 123/2025</w:t>
      </w:r>
    </w:p>
    <w:p w:rsidR="00E832CD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AD2770" w:rsidRPr="00970D0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466A8C" w:rsidP="00E832CD">
      <w:pPr>
        <w:pStyle w:val="NormalWeb"/>
        <w:spacing w:line="360" w:lineRule="auto"/>
        <w:jc w:val="both"/>
        <w:rPr>
          <w:rStyle w:val="Strong"/>
        </w:rPr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7247FE">
        <w:rPr>
          <w:rStyle w:val="Emphasis"/>
          <w:i w:val="0"/>
        </w:rPr>
        <w:t>2</w:t>
      </w:r>
      <w:r w:rsidR="00654DFF">
        <w:rPr>
          <w:rStyle w:val="Emphasis"/>
          <w:i w:val="0"/>
        </w:rPr>
        <w:t>°</w:t>
      </w:r>
      <w:r w:rsidRPr="00970D0C">
        <w:rPr>
          <w:rStyle w:val="Emphasis"/>
          <w:i w:val="0"/>
        </w:rPr>
        <w:t xml:space="preserve"> do Projeto de </w:t>
      </w:r>
      <w:r w:rsidR="0005793D">
        <w:rPr>
          <w:rStyle w:val="Emphasis"/>
          <w:i w:val="0"/>
        </w:rPr>
        <w:t>Lei nº 123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7247FE">
        <w:rPr>
          <w:rStyle w:val="Emphasis"/>
        </w:rPr>
        <w:t xml:space="preserve"> </w:t>
      </w:r>
      <w:r w:rsidRPr="0005793D" w:rsidR="0005793D">
        <w:rPr>
          <w:i/>
        </w:rPr>
        <w:t>Institui, no calendário oficial do Município de Mogi Mirim, o Setembro Azul, mês dedicado à valorização da comunidade surda e à promoção da Língua Brasileira de Sinais (</w:t>
      </w:r>
      <w:r w:rsidRPr="0005793D" w:rsidR="0005793D">
        <w:rPr>
          <w:i/>
        </w:rPr>
        <w:t>Libras)</w:t>
      </w:r>
      <w:r w:rsidR="00654DFF">
        <w:rPr>
          <w:rStyle w:val="Emphasis"/>
        </w:rPr>
        <w:t>”</w:t>
      </w:r>
      <w:r w:rsidR="00F87B0D">
        <w:rPr>
          <w:rStyle w:val="Emphasis"/>
        </w:rPr>
        <w:t xml:space="preserve">. </w:t>
      </w:r>
      <w:r>
        <w:pict>
          <v:rect id="_x0000_i1025" style="width:0;height:0.75pt" o:hrstd="t" o:hrnoshade="t" o:hr="t" fillcolor="#404040" stroked="f"/>
        </w:pict>
      </w:r>
    </w:p>
    <w:p w:rsidR="007247FE" w:rsidP="007247FE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>
        <w:rPr>
          <w:rStyle w:val="Strong"/>
        </w:rPr>
        <w:t>Art. 2</w:t>
      </w:r>
      <w:r w:rsidRPr="00970D0C">
        <w:rPr>
          <w:rStyle w:val="Strong"/>
        </w:rPr>
        <w:t>º:</w:t>
      </w:r>
    </w:p>
    <w:p w:rsidR="00E832CD" w:rsidP="007247FE">
      <w:pPr>
        <w:pStyle w:val="NormalWeb"/>
        <w:spacing w:line="360" w:lineRule="auto"/>
      </w:pPr>
      <w:r>
        <w:rPr>
          <w:rStyle w:val="Strong"/>
        </w:rPr>
        <w:t xml:space="preserve">Art. 2° - </w:t>
      </w:r>
      <w:r w:rsidR="0005793D">
        <w:t>Durante o mês de setembro, o Poder Público poderá, isoladamente ou em parceria com entidades civis, realizar ações de:</w:t>
      </w:r>
    </w:p>
    <w:p w:rsidR="0005793D" w:rsidP="007247FE">
      <w:pPr>
        <w:pStyle w:val="NormalWeb"/>
        <w:spacing w:line="360" w:lineRule="auto"/>
      </w:pPr>
      <w:r>
        <w:t xml:space="preserve"> I – </w:t>
      </w:r>
      <w:r>
        <w:t>palestras, seminários e campanhas</w:t>
      </w:r>
      <w:r>
        <w:t xml:space="preserve"> educativas sobre a cultura e os direitos da pessoa surda; </w:t>
      </w:r>
    </w:p>
    <w:p w:rsidR="0005793D" w:rsidP="007247FE">
      <w:pPr>
        <w:pStyle w:val="NormalWeb"/>
        <w:spacing w:line="360" w:lineRule="auto"/>
      </w:pPr>
      <w:r>
        <w:t xml:space="preserve">II – </w:t>
      </w:r>
      <w:r>
        <w:t>incentivo</w:t>
      </w:r>
      <w:r>
        <w:t xml:space="preserve"> ao ensino e à difusão da Libras em escolas, repartições públicas e instituições privadas;</w:t>
      </w:r>
    </w:p>
    <w:p w:rsidR="0005793D" w:rsidP="007247FE">
      <w:pPr>
        <w:pStyle w:val="NormalWeb"/>
        <w:spacing w:line="360" w:lineRule="auto"/>
      </w:pPr>
      <w:r>
        <w:t xml:space="preserve"> III – atividades culturais e sociais voltadas à valorização da identidade surda;</w:t>
      </w:r>
    </w:p>
    <w:p w:rsidR="00156E7F" w:rsidRPr="00970D0C" w:rsidP="00E832CD">
      <w:pPr>
        <w:pStyle w:val="NormalWeb"/>
        <w:spacing w:line="360" w:lineRule="auto"/>
      </w:pPr>
      <w:r>
        <w:t xml:space="preserve"> IV – </w:t>
      </w:r>
      <w:r>
        <w:t>iluminação</w:t>
      </w:r>
      <w:r>
        <w:t xml:space="preserve"> de prédios e logradouros públicos com a cor azul, como forma de sensibilização da sociedade.</w:t>
      </w:r>
      <w:r>
        <w:pict>
          <v:rect id="_x0000_i1026" style="width:0;height:0.75pt" o:hrstd="t" o:hrnoshade="t" o:hr="t" fillcolor="#404040" stroked="f"/>
        </w:pict>
      </w:r>
    </w:p>
    <w:p w:rsidR="007247FE" w:rsidP="007247FE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>T</w:t>
      </w:r>
      <w:r w:rsidRPr="00970D0C">
        <w:rPr>
          <w:rStyle w:val="Strong"/>
        </w:rPr>
        <w:t>exto Proposto (Emenda Substitutiva):</w:t>
      </w:r>
    </w:p>
    <w:p w:rsidR="00CD112E" w:rsidRPr="00CD112E" w:rsidP="00663E16">
      <w:pPr>
        <w:pStyle w:val="NormalWeb"/>
        <w:spacing w:line="360" w:lineRule="auto"/>
        <w:rPr>
          <w:b/>
          <w:bCs/>
        </w:rPr>
      </w:pPr>
      <w:r>
        <w:rPr>
          <w:rStyle w:val="Strong"/>
        </w:rPr>
        <w:t xml:space="preserve">Art. 2° - </w:t>
      </w:r>
      <w:r w:rsidRPr="00044D3A" w:rsidR="0005793D">
        <w:t xml:space="preserve">O </w:t>
      </w:r>
      <w:r w:rsidRPr="00044D3A" w:rsidR="0005793D">
        <w:t>Setembro</w:t>
      </w:r>
      <w:r w:rsidRPr="00044D3A" w:rsidR="0005793D">
        <w:t xml:space="preserve"> Azul tem caráter comemorativo e de conscientização, cabendo ao Executivo avaliar, no âmbito de suas competências, a realização de iniciativas correlatas, a seu critério de conveniência e </w:t>
      </w:r>
      <w:r w:rsidR="0005793D">
        <w:t>oportunidade</w:t>
      </w:r>
      <w:r w:rsidR="0005793D">
        <w:rPr>
          <w:rStyle w:val="Strong"/>
          <w:b w:val="0"/>
        </w:rPr>
        <w:t>.</w:t>
      </w:r>
    </w:p>
    <w:p w:rsidR="00F74441" w:rsidRPr="00970D0C" w:rsidP="00E832CD">
      <w:pPr>
        <w:pStyle w:val="NormalWeb"/>
        <w:spacing w:line="360" w:lineRule="auto"/>
        <w:jc w:val="center"/>
        <w:rPr>
          <w:i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05793D">
        <w:rPr>
          <w:rStyle w:val="Strong"/>
        </w:rPr>
        <w:t>OR SANTO RÓTTOLI”, em 11</w:t>
      </w:r>
      <w:r w:rsidR="00654DFF">
        <w:rPr>
          <w:rStyle w:val="Strong"/>
        </w:rPr>
        <w:t xml:space="preserve"> de setembro</w:t>
      </w:r>
      <w:r w:rsidRPr="00970D0C">
        <w:rPr>
          <w:rStyle w:val="Strong"/>
        </w:rPr>
        <w:t xml:space="preserve"> de 2025.</w:t>
      </w:r>
    </w:p>
    <w:p w:rsidR="00663E16" w:rsidRPr="00CD112E" w:rsidP="00CD112E">
      <w:pPr>
        <w:spacing w:before="240" w:line="360" w:lineRule="auto"/>
        <w:jc w:val="center"/>
        <w:rPr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</w:t>
      </w:r>
      <w:r w:rsidR="0005793D">
        <w:rPr>
          <w:b/>
          <w:sz w:val="24"/>
          <w:szCs w:val="24"/>
        </w:rPr>
        <w:t xml:space="preserve"> WILIANS MENDES DE OLIVEIRA</w:t>
      </w:r>
      <w:r w:rsidRPr="00C926D0">
        <w:rPr>
          <w:b/>
          <w:sz w:val="24"/>
          <w:szCs w:val="24"/>
        </w:rPr>
        <w:br/>
      </w:r>
    </w:p>
    <w:p w:rsidR="006821B3" w:rsidRPr="00970D0C" w:rsidP="00663E16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031B88" w:rsidP="0021792D">
      <w:pPr>
        <w:pStyle w:val="NormalWeb"/>
        <w:spacing w:line="360" w:lineRule="auto"/>
        <w:jc w:val="both"/>
      </w:pPr>
      <w:r>
        <w:tab/>
      </w:r>
    </w:p>
    <w:p w:rsidR="0021792D" w:rsidRPr="0021792D" w:rsidP="0021792D">
      <w:pPr>
        <w:spacing w:line="360" w:lineRule="auto"/>
        <w:ind w:firstLine="709"/>
        <w:jc w:val="both"/>
        <w:rPr>
          <w:sz w:val="24"/>
          <w:szCs w:val="24"/>
        </w:rPr>
      </w:pPr>
      <w:r w:rsidRPr="0021792D">
        <w:rPr>
          <w:sz w:val="24"/>
          <w:szCs w:val="24"/>
        </w:rPr>
        <w:t>A presente Emenda Substitutiva tem por finalidade adequar o Projeto de Lei nº 123/2025 às balizas constitucionais, especialmente quanto ao princípio da separação dos Poderes (art. 2º da Constituição Federal).</w:t>
      </w:r>
    </w:p>
    <w:p w:rsidR="0021792D" w:rsidRPr="0021792D" w:rsidP="0021792D">
      <w:pPr>
        <w:spacing w:line="360" w:lineRule="auto"/>
        <w:ind w:firstLine="709"/>
        <w:jc w:val="both"/>
        <w:rPr>
          <w:sz w:val="24"/>
          <w:szCs w:val="24"/>
        </w:rPr>
      </w:pPr>
      <w:r w:rsidRPr="0021792D">
        <w:rPr>
          <w:sz w:val="24"/>
          <w:szCs w:val="24"/>
        </w:rPr>
        <w:t>Em análise jurídica elaborada pela consultoria externa, foi apontada a necessidade de revisão do artigo 2º do projeto original, uma vez que o texto anterior poderia ser interpretado como imposição de atribuições ao Poder Executivo, configurando ingerência do Legislativo em matéria de gestão administrativa.</w:t>
      </w:r>
    </w:p>
    <w:p w:rsidR="0021792D" w:rsidRPr="0021792D" w:rsidP="0021792D">
      <w:pPr>
        <w:spacing w:line="360" w:lineRule="auto"/>
        <w:ind w:firstLine="709"/>
        <w:jc w:val="both"/>
        <w:rPr>
          <w:sz w:val="24"/>
          <w:szCs w:val="24"/>
        </w:rPr>
      </w:pPr>
      <w:r w:rsidRPr="0021792D">
        <w:rPr>
          <w:sz w:val="24"/>
          <w:szCs w:val="24"/>
        </w:rPr>
        <w:t xml:space="preserve">Dessa forma, a nova redação proposta mantém a essência e </w:t>
      </w:r>
      <w:r>
        <w:rPr>
          <w:sz w:val="24"/>
          <w:szCs w:val="24"/>
        </w:rPr>
        <w:t>os objetivos do Projeto de Lei,</w:t>
      </w:r>
      <w:r w:rsidRPr="0021792D">
        <w:rPr>
          <w:sz w:val="24"/>
          <w:szCs w:val="24"/>
        </w:rPr>
        <w:t xml:space="preserve"> instituir no calendário oficial do Município o </w:t>
      </w:r>
      <w:r w:rsidRPr="0021792D">
        <w:rPr>
          <w:sz w:val="24"/>
          <w:szCs w:val="24"/>
        </w:rPr>
        <w:t>Setembro</w:t>
      </w:r>
      <w:r w:rsidRPr="0021792D">
        <w:rPr>
          <w:sz w:val="24"/>
          <w:szCs w:val="24"/>
        </w:rPr>
        <w:t xml:space="preserve"> Azul, mês dedicado à valorização da comunidade surda e à promoção da Língua</w:t>
      </w:r>
      <w:r>
        <w:rPr>
          <w:sz w:val="24"/>
          <w:szCs w:val="24"/>
        </w:rPr>
        <w:t xml:space="preserve"> Brasileira de Sinais (Libras)</w:t>
      </w:r>
      <w:r w:rsidRPr="0021792D">
        <w:rPr>
          <w:sz w:val="24"/>
          <w:szCs w:val="24"/>
        </w:rPr>
        <w:t>, mas ajusta o dispositivo ao estabelecer que a realização de iniciativas caberá ao Executivo, a seu critério de conveniência e oportunidade.</w:t>
      </w:r>
    </w:p>
    <w:p w:rsidR="0021792D" w:rsidP="0021792D">
      <w:pPr>
        <w:spacing w:line="360" w:lineRule="auto"/>
        <w:ind w:firstLine="709"/>
        <w:jc w:val="both"/>
        <w:rPr>
          <w:sz w:val="24"/>
          <w:szCs w:val="24"/>
        </w:rPr>
      </w:pPr>
      <w:r w:rsidRPr="0021792D">
        <w:rPr>
          <w:sz w:val="24"/>
          <w:szCs w:val="24"/>
        </w:rPr>
        <w:t>A alteração ora apresentada tem caráter estritamente técnico, não representando alteração de mérito, mas sim garantindo a regularidade constitucional e a segurança jurídica da proposição, assegurando sua plena viabilidade legislativa.</w:t>
      </w:r>
    </w:p>
    <w:p w:rsidR="001B4C21" w:rsidRPr="00031B88" w:rsidP="00031B88">
      <w:pPr>
        <w:spacing w:line="360" w:lineRule="auto"/>
        <w:ind w:firstLine="709"/>
        <w:jc w:val="both"/>
        <w:rPr>
          <w:sz w:val="24"/>
          <w:szCs w:val="24"/>
        </w:rPr>
      </w:pPr>
      <w:r w:rsidRPr="00031B88">
        <w:rPr>
          <w:sz w:val="24"/>
          <w:szCs w:val="24"/>
        </w:rPr>
        <w:t>Portanto a emen</w:t>
      </w:r>
      <w:r w:rsidRPr="00031B88">
        <w:rPr>
          <w:sz w:val="24"/>
          <w:szCs w:val="24"/>
        </w:rPr>
        <w:t>da proposta visa assegurar a </w:t>
      </w:r>
      <w:r w:rsidRPr="00031B88">
        <w:rPr>
          <w:rStyle w:val="Strong"/>
          <w:sz w:val="24"/>
          <w:szCs w:val="24"/>
        </w:rPr>
        <w:t>legalidade e constitucionalidade</w:t>
      </w:r>
      <w:r w:rsidRPr="00031B88">
        <w:rPr>
          <w:sz w:val="24"/>
          <w:szCs w:val="24"/>
        </w:rPr>
        <w:t> do projeto, sem prejudicar sua finalidade ou eficácia.</w:t>
      </w:r>
    </w:p>
    <w:p w:rsidR="00D80A2E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 xml:space="preserve">Rua </w:t>
    </w:r>
    <w:r w:rsidRPr="0020165D">
      <w:rPr>
        <w:b/>
        <w:bCs/>
        <w:color w:val="000000"/>
        <w:sz w:val="18"/>
        <w:szCs w:val="18"/>
      </w:rPr>
      <w:t>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5BB"/>
    <w:rsid w:val="00026797"/>
    <w:rsid w:val="00031B88"/>
    <w:rsid w:val="00037531"/>
    <w:rsid w:val="00041A2D"/>
    <w:rsid w:val="00044381"/>
    <w:rsid w:val="00044D3A"/>
    <w:rsid w:val="00054AE5"/>
    <w:rsid w:val="0005793D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1792D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66A8C"/>
    <w:rsid w:val="004B6FDF"/>
    <w:rsid w:val="004D46DA"/>
    <w:rsid w:val="004E6092"/>
    <w:rsid w:val="005242B1"/>
    <w:rsid w:val="005559D9"/>
    <w:rsid w:val="0057515A"/>
    <w:rsid w:val="005803D5"/>
    <w:rsid w:val="005A1F5E"/>
    <w:rsid w:val="005A235E"/>
    <w:rsid w:val="005B766F"/>
    <w:rsid w:val="005C281F"/>
    <w:rsid w:val="005E491E"/>
    <w:rsid w:val="005F2654"/>
    <w:rsid w:val="005F4E55"/>
    <w:rsid w:val="005F54DA"/>
    <w:rsid w:val="00613747"/>
    <w:rsid w:val="00654DFF"/>
    <w:rsid w:val="00655E46"/>
    <w:rsid w:val="00663E16"/>
    <w:rsid w:val="006821B3"/>
    <w:rsid w:val="006834FE"/>
    <w:rsid w:val="00697874"/>
    <w:rsid w:val="006A54A9"/>
    <w:rsid w:val="007038AD"/>
    <w:rsid w:val="007247FE"/>
    <w:rsid w:val="007556D8"/>
    <w:rsid w:val="00757E2E"/>
    <w:rsid w:val="007737CB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C0DC5"/>
    <w:rsid w:val="009C6807"/>
    <w:rsid w:val="009D6B7C"/>
    <w:rsid w:val="00A00E3E"/>
    <w:rsid w:val="00A12DD9"/>
    <w:rsid w:val="00A164DC"/>
    <w:rsid w:val="00A27446"/>
    <w:rsid w:val="00A672C0"/>
    <w:rsid w:val="00A8541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926D0"/>
    <w:rsid w:val="00CA4349"/>
    <w:rsid w:val="00CC3E72"/>
    <w:rsid w:val="00CD112E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438B"/>
    <w:rsid w:val="00E832CD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D56C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2025-09-11T19:28:42Z</cp:lastPrinted>
  <dcterms:created xsi:type="dcterms:W3CDTF">2025-09-11T19:25:00Z</dcterms:created>
  <dcterms:modified xsi:type="dcterms:W3CDTF">2025-09-11T19:26:00Z</dcterms:modified>
</cp:coreProperties>
</file>