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1474" w:rsidRPr="004D7E2E" w14:paraId="6B1C0BC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E2E">
        <w:rPr>
          <w:rFonts w:ascii="Times New Roman" w:eastAsia="Times New Roman" w:hAnsi="Times New Roman" w:cs="Times New Roman"/>
          <w:sz w:val="24"/>
          <w:szCs w:val="24"/>
        </w:rPr>
        <w:t>Substitutivo Nº 2 ao Projeto de Lei Nº 96/2025</w:t>
      </w:r>
      <w:r w:rsidRPr="004D7E2E">
        <w:rPr>
          <w:rFonts w:ascii="Times New Roman" w:eastAsia="Times New Roman" w:hAnsi="Times New Roman" w:cs="Times New Roman"/>
          <w:sz w:val="24"/>
          <w:szCs w:val="24"/>
        </w:rPr>
        <w:t>Substitutivo Nº 2 ao Projeto de Lei Nº 96/2025</w:t>
      </w:r>
      <w:bookmarkStart w:id="0" w:name="_GoBack"/>
      <w:bookmarkEnd w:id="0"/>
    </w:p>
    <w:p w:rsidR="009A656F" w:rsidRPr="004D7E2E" w14:paraId="34BCADBB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4D7E2E" w14:paraId="65439A91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4D7E2E" w14:paraId="6D8D9E57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E2E">
        <w:rPr>
          <w:rFonts w:ascii="Times New Roman" w:eastAsia="Times New Roman" w:hAnsi="Times New Roman" w:cs="Times New Roman"/>
          <w:b/>
          <w:sz w:val="24"/>
          <w:szCs w:val="24"/>
        </w:rPr>
        <w:t>Dispõe sobre a facultatividade da participação e contribuição financeira dos moradores em associações de bairro no município de Mogi Mirim, e dá outras providências</w:t>
      </w:r>
      <w:r w:rsidRPr="004D7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0A9" w:rsidRPr="004D7E2E" w14:paraId="6D005E7F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DCC" w:rsidRPr="004D7E2E" w14:paraId="60EDAFF3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4D7E2E" w:rsidP="002E6929" w14:paraId="423627B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4D7E2E" w:rsidP="002E6929" w14:paraId="329F9CB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E2E">
        <w:rPr>
          <w:rFonts w:ascii="Times New Roman" w:eastAsia="Times New Roman" w:hAnsi="Times New Roman" w:cs="Times New Roman"/>
          <w:sz w:val="24"/>
          <w:szCs w:val="24"/>
        </w:rPr>
        <w:t>A Câmara Municipal de Mogi Mirim aprova:</w:t>
      </w:r>
    </w:p>
    <w:p w:rsidR="008260A9" w:rsidRPr="004D7E2E" w:rsidP="002E6929" w14:paraId="304CA3AD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DCC" w:rsidRPr="004D7E2E" w:rsidP="009A656F" w14:paraId="164C3BB5" w14:textId="77777777">
      <w:pPr>
        <w:rPr>
          <w:rFonts w:ascii="Times New Roman" w:hAnsi="Times New Roman" w:cs="Times New Roman"/>
          <w:sz w:val="24"/>
          <w:szCs w:val="24"/>
        </w:rPr>
      </w:pPr>
    </w:p>
    <w:p w:rsidR="002809F9" w:rsidRPr="004D7E2E" w:rsidP="009A656F" w14:paraId="55976C75" w14:textId="24E91E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b/>
          <w:sz w:val="24"/>
          <w:szCs w:val="24"/>
        </w:rPr>
        <w:t>Art. 1º</w:t>
      </w:r>
      <w:r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 w:rsidR="009A656F">
        <w:rPr>
          <w:rFonts w:ascii="Times New Roman" w:hAnsi="Times New Roman" w:cs="Times New Roman"/>
          <w:sz w:val="24"/>
          <w:szCs w:val="24"/>
        </w:rPr>
        <w:t>A participação e a contribuição financeira de moradores em associações de bairro no âmbito do Município de Mogi Mirim são de caráter facultativo, nos termos do art. 5º, XX, da Constituição da República.</w:t>
      </w:r>
    </w:p>
    <w:p w:rsidR="00667DCC" w:rsidRPr="004D7E2E" w:rsidP="009A656F" w14:paraId="059B544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9F9" w:rsidRPr="004D7E2E" w:rsidP="009A656F" w14:paraId="093B740F" w14:textId="54F9D7AD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Pr="004D7E2E" w:rsidR="00074F05">
        <w:rPr>
          <w:rFonts w:ascii="Times New Roman" w:hAnsi="Times New Roman" w:cs="Times New Roman"/>
          <w:b/>
          <w:sz w:val="24"/>
          <w:szCs w:val="24"/>
        </w:rPr>
        <w:t>Art. 2º</w:t>
      </w:r>
      <w:r w:rsidRPr="004D7E2E" w:rsidR="00074F05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Nenhum morador poderá ser obrigado a associar-se ou a contribuir com taxas, mensalidades ou contribuições associativas sem manifestação expressa de vontade.</w:t>
      </w:r>
    </w:p>
    <w:p w:rsidR="00667DCC" w:rsidRPr="004D7E2E" w:rsidP="009A656F" w14:paraId="32FD63F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7B5" w:rsidRPr="004D7E2E" w:rsidP="009A656F" w14:paraId="17C102EC" w14:textId="0FD3ED14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Pr="004D7E2E" w:rsidR="00074F05">
        <w:rPr>
          <w:rFonts w:ascii="Times New Roman" w:hAnsi="Times New Roman" w:cs="Times New Roman"/>
          <w:b/>
          <w:sz w:val="24"/>
          <w:szCs w:val="24"/>
        </w:rPr>
        <w:t>Art.</w:t>
      </w:r>
      <w:r w:rsidRPr="004D7E2E">
        <w:rPr>
          <w:rFonts w:ascii="Times New Roman" w:hAnsi="Times New Roman" w:cs="Times New Roman"/>
          <w:b/>
          <w:sz w:val="24"/>
          <w:szCs w:val="24"/>
        </w:rPr>
        <w:t xml:space="preserve"> 3º</w:t>
      </w:r>
      <w:r w:rsidRPr="004D7E2E" w:rsidR="00074F05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É vedado às associações de bairro impor restrições, penalidades ou impedir o usufruto de espaços e serviços públicos a moradores que optarem por não se associar.</w:t>
      </w:r>
    </w:p>
    <w:p w:rsidR="00667DCC" w:rsidRPr="004D7E2E" w:rsidP="009A656F" w14:paraId="3DEFCBD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812" w:rsidRPr="004D7E2E" w:rsidP="009A656F" w14:paraId="47F7D363" w14:textId="503ADAF3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Pr="004D7E2E" w:rsidR="000B77B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4D7E2E" w:rsidR="0024595E">
        <w:rPr>
          <w:rFonts w:ascii="Times New Roman" w:hAnsi="Times New Roman" w:cs="Times New Roman"/>
          <w:b/>
          <w:sz w:val="24"/>
          <w:szCs w:val="24"/>
        </w:rPr>
        <w:t>4</w:t>
      </w:r>
      <w:r w:rsidRPr="004D7E2E" w:rsidR="000B77B5">
        <w:rPr>
          <w:rFonts w:ascii="Times New Roman" w:hAnsi="Times New Roman" w:cs="Times New Roman"/>
          <w:b/>
          <w:sz w:val="24"/>
          <w:szCs w:val="24"/>
        </w:rPr>
        <w:t>°</w:t>
      </w:r>
      <w:r w:rsidRPr="004D7E2E" w:rsidR="000B77B5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A cobrança de taxa de manutenção ou contribuição assemelhada não se aplica a não associados, ressalvadas as hipóteses previstas no art. 2º, § 8º, da Lei nº 6.766/1979, com redação dada pela Lei nº 13.465/2017, e a jurisprudência correlata fixada no Tema 492/STF e Tema 882/STJ.</w:t>
      </w:r>
    </w:p>
    <w:p w:rsidR="00667DCC" w:rsidRPr="004D7E2E" w:rsidP="009A656F" w14:paraId="336C1F9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7B5" w:rsidRPr="004D7E2E" w:rsidP="009A656F" w14:paraId="429C96B3" w14:textId="7CEE8F70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Pr="004D7E2E" w:rsidR="00F1081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4D7E2E" w:rsidR="0024595E">
        <w:rPr>
          <w:rFonts w:ascii="Times New Roman" w:hAnsi="Times New Roman" w:cs="Times New Roman"/>
          <w:b/>
          <w:sz w:val="24"/>
          <w:szCs w:val="24"/>
        </w:rPr>
        <w:t>5</w:t>
      </w:r>
      <w:r w:rsidRPr="004D7E2E" w:rsidR="00496DBD">
        <w:rPr>
          <w:rFonts w:ascii="Times New Roman" w:hAnsi="Times New Roman" w:cs="Times New Roman"/>
          <w:b/>
          <w:sz w:val="24"/>
          <w:szCs w:val="24"/>
        </w:rPr>
        <w:t>º</w:t>
      </w:r>
      <w:r w:rsidRPr="004D7E2E" w:rsidR="00184D4D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Esta Lei não se aplica a condomínios edilícios regidos pela Lei nº 4.591/1964, nem a loteamentos com acesso controlado regularmente instituídos na forma da legislação aplicável e do registro imobiliário.</w:t>
      </w:r>
    </w:p>
    <w:p w:rsidR="00602B26" w:rsidRPr="004D7E2E" w:rsidP="009A656F" w14:paraId="1069B6F6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03D" w:rsidRPr="004D7E2E" w:rsidP="009A656F" w14:paraId="2BF26D2E" w14:textId="15F3AD7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E2E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Pr="004D7E2E" w:rsidR="009A656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7E2E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4D7E2E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809F9" w:rsidRPr="004D7E2E" w:rsidP="002E6929" w14:paraId="0E53380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DCC" w:rsidRPr="004D7E2E" w:rsidP="002E6929" w14:paraId="708E4083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DCC" w:rsidRPr="004D7E2E" w:rsidP="002E6929" w14:paraId="1C4DE458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4D7E2E" w:rsidP="009A656F" w14:paraId="564E3F9C" w14:textId="358F9902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 xml:space="preserve">Sala das Sessões “Vereador Santo </w:t>
      </w:r>
      <w:r w:rsidRPr="004D7E2E">
        <w:rPr>
          <w:rFonts w:ascii="Times New Roman" w:hAnsi="Times New Roman" w:cs="Times New Roman"/>
          <w:sz w:val="24"/>
          <w:szCs w:val="24"/>
        </w:rPr>
        <w:t>Róttoli</w:t>
      </w:r>
      <w:r w:rsidRPr="004D7E2E">
        <w:rPr>
          <w:rFonts w:ascii="Times New Roman" w:hAnsi="Times New Roman" w:cs="Times New Roman"/>
          <w:sz w:val="24"/>
          <w:szCs w:val="24"/>
        </w:rPr>
        <w:t xml:space="preserve">”, em </w:t>
      </w:r>
      <w:r w:rsidRPr="004D7E2E" w:rsidR="00667DCC">
        <w:rPr>
          <w:rFonts w:ascii="Times New Roman" w:hAnsi="Times New Roman" w:cs="Times New Roman"/>
          <w:sz w:val="24"/>
          <w:szCs w:val="24"/>
        </w:rPr>
        <w:t>11</w:t>
      </w:r>
      <w:r w:rsidRPr="004D7E2E">
        <w:rPr>
          <w:rFonts w:ascii="Times New Roman" w:hAnsi="Times New Roman" w:cs="Times New Roman"/>
          <w:sz w:val="24"/>
          <w:szCs w:val="24"/>
        </w:rPr>
        <w:t xml:space="preserve"> de </w:t>
      </w:r>
      <w:r w:rsidRPr="004D7E2E" w:rsidR="00667DCC">
        <w:rPr>
          <w:rFonts w:ascii="Times New Roman" w:hAnsi="Times New Roman" w:cs="Times New Roman"/>
          <w:sz w:val="24"/>
          <w:szCs w:val="24"/>
        </w:rPr>
        <w:t>setembro</w:t>
      </w:r>
      <w:r w:rsidRPr="004D7E2E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8260A9" w:rsidRPr="004D7E2E" w14:paraId="12EB33FE" w14:textId="7777777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RPr="004D7E2E" w14:paraId="64365576" w14:textId="7777777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3086C" w:rsidRPr="004D7E2E" w14:paraId="02238861" w14:textId="77777777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305FB" w:rsidRPr="004D7E2E" w14:paraId="2833AB16" w14:textId="77777777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4D7E2E">
        <w:rPr>
          <w:rFonts w:ascii="Times New Roman" w:eastAsia="Arial Narrow" w:hAnsi="Times New Roman" w:cs="Times New Roman"/>
          <w:b/>
          <w:sz w:val="24"/>
          <w:szCs w:val="24"/>
        </w:rPr>
        <w:t>CRISTIANO GAIOTO</w:t>
      </w:r>
    </w:p>
    <w:p w:rsidR="002809F9" w:rsidRPr="004D7E2E" w14:paraId="7F57D03B" w14:textId="16E0CDF2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4D7E2E">
        <w:rPr>
          <w:rFonts w:ascii="Times New Roman" w:eastAsia="Arial Narrow" w:hAnsi="Times New Roman" w:cs="Times New Roman"/>
          <w:b/>
          <w:sz w:val="24"/>
          <w:szCs w:val="24"/>
        </w:rPr>
        <w:t>Presidente da Câmara Municipal.</w:t>
      </w:r>
    </w:p>
    <w:p w:rsidR="00667DCC" w:rsidRPr="004D7E2E" w14:paraId="5967056C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DCC" w:rsidRPr="004D7E2E" w14:paraId="6047E9A8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DCC" w:rsidRPr="004D7E2E" w14:paraId="41DBC1AD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 w:rsidRPr="004D7E2E" w14:paraId="37E61417" w14:textId="13E208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E2E">
        <w:rPr>
          <w:rFonts w:ascii="Times New Roman" w:eastAsia="Times New Roman" w:hAnsi="Times New Roman" w:cs="Times New Roman"/>
          <w:b/>
          <w:sz w:val="24"/>
          <w:szCs w:val="24"/>
        </w:rPr>
        <w:t>JUSTIFICA</w:t>
      </w:r>
      <w:r w:rsidRPr="004D7E2E" w:rsidR="002809F9">
        <w:rPr>
          <w:rFonts w:ascii="Times New Roman" w:eastAsia="Times New Roman" w:hAnsi="Times New Roman" w:cs="Times New Roman"/>
          <w:b/>
          <w:sz w:val="24"/>
          <w:szCs w:val="24"/>
        </w:rPr>
        <w:t>ÇÃO</w:t>
      </w:r>
    </w:p>
    <w:p w:rsidR="002809F9" w:rsidRPr="004D7E2E" w14:paraId="109D7B4B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56F" w:rsidRPr="004D7E2E" w:rsidP="004D7E2E" w14:paraId="7E01B3B6" w14:textId="29B5A140">
      <w:pPr>
        <w:pStyle w:val="NormalWeb"/>
        <w:jc w:val="both"/>
      </w:pPr>
      <w:r w:rsidRPr="004D7E2E">
        <w:tab/>
        <w:t xml:space="preserve">O presente Projeto de Lei tem por finalidade </w:t>
      </w:r>
      <w:r w:rsidRPr="004D7E2E">
        <w:rPr>
          <w:rStyle w:val="Strong"/>
        </w:rPr>
        <w:t>garantir e explicitar a liberdade de associação</w:t>
      </w:r>
      <w:r w:rsidRPr="004D7E2E">
        <w:t xml:space="preserve">, assegurando que a participação e a contribuição financeira em associações de moradores sejam </w:t>
      </w:r>
      <w:r w:rsidRPr="004D7E2E">
        <w:rPr>
          <w:rStyle w:val="Strong"/>
        </w:rPr>
        <w:t>sempre voluntárias</w:t>
      </w:r>
      <w:r w:rsidRPr="004D7E2E">
        <w:t xml:space="preserve">, nos termos do art. 5º, XX, da Constituição da República (“ninguém poderá ser compelido a associar-se ou a permanecer associado”) (BRASIL, 1988, art. 5º, XX). Também se prestigia a competência municipal para dispor, em âmbito local, sobre interesses da coletividade e </w:t>
      </w:r>
      <w:r w:rsidRPr="004D7E2E">
        <w:rPr>
          <w:rStyle w:val="Strong"/>
        </w:rPr>
        <w:t>suplementar</w:t>
      </w:r>
      <w:r w:rsidRPr="004D7E2E">
        <w:t xml:space="preserve"> a legislação federal quando couber (BRASIL, 1988, art. 30, I e II).</w:t>
      </w:r>
    </w:p>
    <w:p w:rsidR="009A656F" w:rsidRPr="004D7E2E" w:rsidP="004D7E2E" w14:paraId="22584AA0" w14:textId="06AADE63">
      <w:pPr>
        <w:pStyle w:val="NormalWeb"/>
        <w:jc w:val="both"/>
      </w:pPr>
      <w:r w:rsidRPr="004D7E2E">
        <w:tab/>
      </w:r>
      <w:r w:rsidRPr="004D7E2E">
        <w:t xml:space="preserve">Na prática cotidiana, é frequente que proprietários ou possuidores enfrentem </w:t>
      </w:r>
      <w:r w:rsidRPr="004D7E2E">
        <w:rPr>
          <w:rStyle w:val="Strong"/>
        </w:rPr>
        <w:t>pressões para o pagamento de taxas associativas</w:t>
      </w:r>
      <w:r w:rsidRPr="004D7E2E">
        <w:t xml:space="preserve">, mesmo </w:t>
      </w:r>
      <w:r w:rsidRPr="004D7E2E">
        <w:rPr>
          <w:rStyle w:val="Strong"/>
        </w:rPr>
        <w:t>sem adesão formal</w:t>
      </w:r>
      <w:r w:rsidRPr="004D7E2E">
        <w:t xml:space="preserve"> ou sem terem se associado voluntariamente. Tal quadro </w:t>
      </w:r>
      <w:r w:rsidRPr="004D7E2E">
        <w:rPr>
          <w:rStyle w:val="Strong"/>
        </w:rPr>
        <w:t>contraria</w:t>
      </w:r>
      <w:r w:rsidRPr="004D7E2E">
        <w:t xml:space="preserve"> o regime constitucional da liberdade de associação e o </w:t>
      </w:r>
      <w:r w:rsidRPr="004D7E2E">
        <w:rPr>
          <w:rStyle w:val="Strong"/>
        </w:rPr>
        <w:t>estatuto civil das associações</w:t>
      </w:r>
      <w:r w:rsidRPr="004D7E2E">
        <w:t xml:space="preserve">, segundo o qual estas se constituem pela união de pessoas para fins não econômicos, </w:t>
      </w:r>
      <w:r w:rsidRPr="004D7E2E">
        <w:rPr>
          <w:rStyle w:val="Strong"/>
        </w:rPr>
        <w:t>com vínculos obrigacionais restritos aos associados</w:t>
      </w:r>
      <w:r w:rsidRPr="004D7E2E">
        <w:t xml:space="preserve">, conforme previsão estatutária (BRASIL, 2002, </w:t>
      </w:r>
      <w:r w:rsidRPr="004D7E2E">
        <w:t>arts</w:t>
      </w:r>
      <w:r w:rsidRPr="004D7E2E">
        <w:t>. 53–59).</w:t>
      </w:r>
    </w:p>
    <w:p w:rsidR="009A656F" w:rsidRPr="004D7E2E" w:rsidP="004D7E2E" w14:paraId="30339931" w14:textId="642233A2">
      <w:pPr>
        <w:pStyle w:val="NormalWeb"/>
        <w:jc w:val="both"/>
      </w:pPr>
      <w:r w:rsidRPr="004D7E2E">
        <w:tab/>
      </w:r>
      <w:r w:rsidRPr="004D7E2E">
        <w:t xml:space="preserve">A jurisprudência </w:t>
      </w:r>
      <w:r w:rsidRPr="004D7E2E">
        <w:rPr>
          <w:rStyle w:val="Strong"/>
        </w:rPr>
        <w:t>uniforme</w:t>
      </w:r>
      <w:r w:rsidRPr="004D7E2E">
        <w:t xml:space="preserve"> dos Tribunais Superiores consolidou a matéria. O </w:t>
      </w:r>
      <w:r w:rsidRPr="004D7E2E">
        <w:rPr>
          <w:rStyle w:val="Strong"/>
        </w:rPr>
        <w:t>Superior Tribunal de Justiça</w:t>
      </w:r>
      <w:r w:rsidRPr="004D7E2E">
        <w:t xml:space="preserve"> fixou, em sede de </w:t>
      </w:r>
      <w:r w:rsidRPr="004D7E2E">
        <w:rPr>
          <w:rStyle w:val="Strong"/>
        </w:rPr>
        <w:t>recurso repetitivo (Tema 882)</w:t>
      </w:r>
      <w:r w:rsidRPr="004D7E2E">
        <w:t xml:space="preserve">, a tese de que </w:t>
      </w:r>
      <w:r w:rsidRPr="004D7E2E">
        <w:rPr>
          <w:rStyle w:val="Strong"/>
        </w:rPr>
        <w:t>“as taxas de manutenção criadas por associações de moradores não obrigam os não associados ou que a elas não anuíram”</w:t>
      </w:r>
      <w:r w:rsidRPr="004D7E2E">
        <w:t xml:space="preserve"> (STJ, 2015, Tema 882). O </w:t>
      </w:r>
      <w:r w:rsidRPr="004D7E2E">
        <w:rPr>
          <w:rStyle w:val="Strong"/>
        </w:rPr>
        <w:t>Supremo Tribunal Federal</w:t>
      </w:r>
      <w:r w:rsidRPr="004D7E2E">
        <w:t xml:space="preserve">, por sua vez, ao julgar o </w:t>
      </w:r>
      <w:r w:rsidRPr="004D7E2E">
        <w:rPr>
          <w:rStyle w:val="Strong"/>
        </w:rPr>
        <w:t>Tema 492</w:t>
      </w:r>
      <w:r w:rsidRPr="004D7E2E">
        <w:t xml:space="preserve"> da repercussão geral, assentou ser </w:t>
      </w:r>
      <w:r w:rsidRPr="004D7E2E">
        <w:rPr>
          <w:rStyle w:val="Strong"/>
        </w:rPr>
        <w:t>inconstitucional</w:t>
      </w:r>
      <w:r w:rsidRPr="004D7E2E">
        <w:t xml:space="preserve"> a cobrança de taxa de manutenção e conservação por associação de moradores </w:t>
      </w:r>
      <w:r w:rsidRPr="004D7E2E">
        <w:rPr>
          <w:rStyle w:val="Strong"/>
        </w:rPr>
        <w:t>a proprietário não associado</w:t>
      </w:r>
      <w:r w:rsidRPr="004D7E2E">
        <w:t xml:space="preserve">, </w:t>
      </w:r>
      <w:r w:rsidRPr="004D7E2E">
        <w:rPr>
          <w:rStyle w:val="Strong"/>
        </w:rPr>
        <w:t>até</w:t>
      </w:r>
      <w:r w:rsidRPr="004D7E2E">
        <w:t xml:space="preserve"> o advento de lei que </w:t>
      </w:r>
      <w:r w:rsidRPr="004D7E2E">
        <w:rPr>
          <w:rStyle w:val="Strong"/>
        </w:rPr>
        <w:t>regule especificamente</w:t>
      </w:r>
      <w:r w:rsidRPr="004D7E2E">
        <w:t xml:space="preserve"> a matéria — notadamente, após as alterações introduzidas pela </w:t>
      </w:r>
      <w:r w:rsidRPr="004D7E2E">
        <w:rPr>
          <w:rStyle w:val="Strong"/>
        </w:rPr>
        <w:t>Lei nº 13.465/2017</w:t>
      </w:r>
      <w:r w:rsidRPr="004D7E2E">
        <w:t xml:space="preserve"> no regime dos </w:t>
      </w:r>
      <w:r w:rsidRPr="004D7E2E">
        <w:rPr>
          <w:rStyle w:val="Strong"/>
        </w:rPr>
        <w:t>loteamentos de acesso controlado</w:t>
      </w:r>
      <w:r w:rsidRPr="004D7E2E">
        <w:t xml:space="preserve"> (STF, 2021, Tema 492).</w:t>
      </w:r>
    </w:p>
    <w:p w:rsidR="009A656F" w:rsidRPr="004D7E2E" w:rsidP="004D7E2E" w14:paraId="4688C810" w14:textId="0F23CC7C">
      <w:pPr>
        <w:pStyle w:val="NormalWeb"/>
        <w:jc w:val="both"/>
      </w:pPr>
      <w:r w:rsidRPr="004D7E2E">
        <w:tab/>
      </w:r>
      <w:r w:rsidRPr="004D7E2E">
        <w:t xml:space="preserve">Importa distinguir, ainda, o regime </w:t>
      </w:r>
      <w:r w:rsidRPr="004D7E2E">
        <w:rPr>
          <w:rStyle w:val="Strong"/>
        </w:rPr>
        <w:t>condominial</w:t>
      </w:r>
      <w:r w:rsidRPr="004D7E2E">
        <w:t xml:space="preserve"> do regime </w:t>
      </w:r>
      <w:r w:rsidRPr="004D7E2E">
        <w:rPr>
          <w:rStyle w:val="Strong"/>
        </w:rPr>
        <w:t>associativo</w:t>
      </w:r>
      <w:r w:rsidRPr="004D7E2E">
        <w:t xml:space="preserve">. </w:t>
      </w:r>
      <w:r w:rsidRPr="004D7E2E">
        <w:rPr>
          <w:rStyle w:val="Strong"/>
        </w:rPr>
        <w:t>Condomínios edilícios</w:t>
      </w:r>
      <w:r w:rsidRPr="004D7E2E">
        <w:t xml:space="preserve"> têm disciplina própria (Lei nº 4.591/1964 e Código Civil), na qual as despesas comuns decorrem da </w:t>
      </w:r>
      <w:r w:rsidRPr="004D7E2E">
        <w:rPr>
          <w:rStyle w:val="Strong"/>
        </w:rPr>
        <w:t>condição de condômino</w:t>
      </w:r>
      <w:r w:rsidRPr="004D7E2E">
        <w:t xml:space="preserve">, não de vínculo associativo (BRASIL, 1964; BRASIL, 2002, </w:t>
      </w:r>
      <w:r w:rsidRPr="004D7E2E">
        <w:t>arts</w:t>
      </w:r>
      <w:r w:rsidRPr="004D7E2E">
        <w:t xml:space="preserve">. 1.331–1.358). Já nas </w:t>
      </w:r>
      <w:r w:rsidRPr="004D7E2E">
        <w:rPr>
          <w:rStyle w:val="Strong"/>
        </w:rPr>
        <w:t>associações de moradores</w:t>
      </w:r>
      <w:r w:rsidRPr="004D7E2E">
        <w:t xml:space="preserve">, as obrigações </w:t>
      </w:r>
      <w:r w:rsidRPr="004D7E2E">
        <w:rPr>
          <w:rStyle w:val="Strong"/>
        </w:rPr>
        <w:t>decorrem da adesão voluntária</w:t>
      </w:r>
      <w:r w:rsidRPr="004D7E2E">
        <w:t xml:space="preserve"> e das regras estatutárias, </w:t>
      </w:r>
      <w:r w:rsidRPr="004D7E2E">
        <w:rPr>
          <w:rStyle w:val="Strong"/>
        </w:rPr>
        <w:t>não</w:t>
      </w:r>
      <w:r w:rsidRPr="004D7E2E">
        <w:t xml:space="preserve"> sendo lícito </w:t>
      </w:r>
      <w:r w:rsidRPr="004D7E2E">
        <w:rPr>
          <w:rStyle w:val="Strong"/>
        </w:rPr>
        <w:t>transferir compulsoriamente</w:t>
      </w:r>
      <w:r w:rsidRPr="004D7E2E">
        <w:t xml:space="preserve"> a terceiros não associados custos de manutenção privada do espaço urbano (STJ, 2015, Tema 882; STF, 2021, Tema 492).</w:t>
      </w:r>
    </w:p>
    <w:p w:rsidR="009A656F" w:rsidRPr="004D7E2E" w:rsidP="004D7E2E" w14:paraId="086FF0CC" w14:textId="6B686379">
      <w:pPr>
        <w:pStyle w:val="NormalWeb"/>
        <w:jc w:val="both"/>
      </w:pPr>
      <w:r w:rsidRPr="004D7E2E">
        <w:tab/>
      </w:r>
      <w:r w:rsidRPr="004D7E2E">
        <w:t xml:space="preserve">No tocante aos </w:t>
      </w:r>
      <w:r w:rsidRPr="004D7E2E">
        <w:rPr>
          <w:rStyle w:val="Strong"/>
        </w:rPr>
        <w:t>loteamentos de acesso controlado</w:t>
      </w:r>
      <w:r w:rsidRPr="004D7E2E">
        <w:t xml:space="preserve">, a Lei nº 13.465/2017 introduziu parâmetros específicos na </w:t>
      </w:r>
      <w:r w:rsidRPr="004D7E2E">
        <w:rPr>
          <w:rStyle w:val="Strong"/>
        </w:rPr>
        <w:t>Lei nº 6.766/1979</w:t>
      </w:r>
      <w:r w:rsidRPr="004D7E2E">
        <w:t xml:space="preserve"> (parcelamento do solo), reconhecendo essa figura jurídica e prevendo condições </w:t>
      </w:r>
      <w:r w:rsidRPr="004D7E2E">
        <w:rPr>
          <w:rStyle w:val="Strong"/>
        </w:rPr>
        <w:t>estritas</w:t>
      </w:r>
      <w:r w:rsidRPr="004D7E2E">
        <w:t xml:space="preserve"> para eventual cotização, como </w:t>
      </w:r>
      <w:r w:rsidRPr="004D7E2E">
        <w:rPr>
          <w:rStyle w:val="Strong"/>
        </w:rPr>
        <w:t>base legal adequada</w:t>
      </w:r>
      <w:r w:rsidRPr="004D7E2E">
        <w:t xml:space="preserve"> e </w:t>
      </w:r>
      <w:r w:rsidRPr="004D7E2E">
        <w:rPr>
          <w:rStyle w:val="Strong"/>
        </w:rPr>
        <w:t>regramento registral</w:t>
      </w:r>
      <w:r w:rsidRPr="004D7E2E">
        <w:t xml:space="preserve">, sem afastar a regra matriz da </w:t>
      </w:r>
      <w:r w:rsidRPr="004D7E2E">
        <w:rPr>
          <w:rStyle w:val="Strong"/>
        </w:rPr>
        <w:t>voluntariedade</w:t>
      </w:r>
      <w:r w:rsidRPr="004D7E2E">
        <w:t xml:space="preserve"> (BRASIL, 1979, art. 2º, § 8º; BRASIL, 2017). Mesmo nesses casos, o entendimento dos Tribunais Superiores continua a </w:t>
      </w:r>
      <w:r w:rsidRPr="004D7E2E">
        <w:rPr>
          <w:rStyle w:val="Strong"/>
        </w:rPr>
        <w:t>rechaçar</w:t>
      </w:r>
      <w:r w:rsidRPr="004D7E2E">
        <w:t xml:space="preserve"> a imposição </w:t>
      </w:r>
      <w:r w:rsidRPr="004D7E2E">
        <w:rPr>
          <w:rStyle w:val="Strong"/>
        </w:rPr>
        <w:t>generalizada</w:t>
      </w:r>
      <w:r w:rsidRPr="004D7E2E">
        <w:t xml:space="preserve"> de taxas a </w:t>
      </w:r>
      <w:r w:rsidRPr="004D7E2E">
        <w:rPr>
          <w:rStyle w:val="Strong"/>
        </w:rPr>
        <w:t>não associados</w:t>
      </w:r>
      <w:r w:rsidRPr="004D7E2E">
        <w:t xml:space="preserve"> fora das hipóteses legalmente estruturadas e </w:t>
      </w:r>
      <w:r w:rsidRPr="004D7E2E">
        <w:t>registralmente</w:t>
      </w:r>
      <w:r w:rsidRPr="004D7E2E">
        <w:t xml:space="preserve"> oponíveis (STF, 2021, Tema 492; STJ, 2015, Tema 882).</w:t>
      </w:r>
    </w:p>
    <w:p w:rsidR="009A656F" w:rsidRPr="004D7E2E" w:rsidP="004D7E2E" w14:paraId="49757390" w14:textId="1EBCFC2A">
      <w:pPr>
        <w:pStyle w:val="NormalWeb"/>
        <w:jc w:val="both"/>
      </w:pPr>
      <w:r w:rsidRPr="004D7E2E">
        <w:tab/>
      </w:r>
      <w:r w:rsidRPr="004D7E2E">
        <w:t xml:space="preserve">Dessa forma, a proposta </w:t>
      </w:r>
      <w:r w:rsidRPr="004D7E2E">
        <w:rPr>
          <w:rStyle w:val="Strong"/>
        </w:rPr>
        <w:t>não enfraquece</w:t>
      </w:r>
      <w:r w:rsidRPr="004D7E2E">
        <w:t xml:space="preserve"> as associações — ao contrário, </w:t>
      </w:r>
      <w:r w:rsidRPr="004D7E2E">
        <w:rPr>
          <w:rStyle w:val="Strong"/>
        </w:rPr>
        <w:t>as fortalece</w:t>
      </w:r>
      <w:r w:rsidRPr="004D7E2E">
        <w:t xml:space="preserve"> naquilo que lhes é próprio: </w:t>
      </w:r>
      <w:r w:rsidRPr="004D7E2E">
        <w:rPr>
          <w:rStyle w:val="Strong"/>
        </w:rPr>
        <w:t>atrair adesões conscientes</w:t>
      </w:r>
      <w:r w:rsidRPr="004D7E2E">
        <w:t xml:space="preserve"> por meio de </w:t>
      </w:r>
      <w:r w:rsidRPr="004D7E2E">
        <w:rPr>
          <w:rStyle w:val="Strong"/>
        </w:rPr>
        <w:t>transparência</w:t>
      </w:r>
      <w:r w:rsidRPr="004D7E2E">
        <w:t xml:space="preserve">, </w:t>
      </w:r>
      <w:r w:rsidRPr="004D7E2E">
        <w:rPr>
          <w:rStyle w:val="Strong"/>
        </w:rPr>
        <w:t>prestação de contas</w:t>
      </w:r>
      <w:r w:rsidRPr="004D7E2E">
        <w:t xml:space="preserve"> e </w:t>
      </w:r>
      <w:r w:rsidRPr="004D7E2E">
        <w:rPr>
          <w:rStyle w:val="Strong"/>
        </w:rPr>
        <w:t>entrega real de benefícios</w:t>
      </w:r>
      <w:r w:rsidRPr="004D7E2E">
        <w:t xml:space="preserve"> aos seus membros. Ao </w:t>
      </w:r>
      <w:r w:rsidRPr="004D7E2E">
        <w:rPr>
          <w:rStyle w:val="Strong"/>
        </w:rPr>
        <w:t>clarear</w:t>
      </w:r>
      <w:r w:rsidRPr="004D7E2E">
        <w:t xml:space="preserve"> que a participação e a contribuição são </w:t>
      </w:r>
      <w:r w:rsidRPr="004D7E2E">
        <w:rPr>
          <w:rStyle w:val="Strong"/>
        </w:rPr>
        <w:t>facultativas</w:t>
      </w:r>
      <w:r w:rsidRPr="004D7E2E">
        <w:t xml:space="preserve">, o Município promove </w:t>
      </w:r>
      <w:r w:rsidRPr="004D7E2E">
        <w:rPr>
          <w:rStyle w:val="Strong"/>
        </w:rPr>
        <w:t>segurança jurídica</w:t>
      </w:r>
      <w:r w:rsidRPr="004D7E2E">
        <w:t xml:space="preserve">, </w:t>
      </w:r>
      <w:r w:rsidRPr="004D7E2E">
        <w:rPr>
          <w:rStyle w:val="Strong"/>
        </w:rPr>
        <w:t>evita litígios</w:t>
      </w:r>
      <w:r w:rsidRPr="004D7E2E">
        <w:t xml:space="preserve"> e </w:t>
      </w:r>
      <w:r w:rsidRPr="004D7E2E">
        <w:rPr>
          <w:rStyle w:val="Strong"/>
        </w:rPr>
        <w:t>estimula boas práticas de governança associativa</w:t>
      </w:r>
      <w:r w:rsidRPr="004D7E2E">
        <w:t>, sempre em conformidade com a Constituição, com o Código Civil e com a jurisprudência consolidada (BRASIL, 1988; BRASIL, 2002; STJ, 2015; STF, 2021).</w:t>
      </w:r>
    </w:p>
    <w:p w:rsidR="009A656F" w:rsidRPr="004D7E2E" w:rsidP="004D7E2E" w14:paraId="39DF30A8" w14:textId="53229D9D">
      <w:pPr>
        <w:pStyle w:val="NormalWeb"/>
        <w:jc w:val="both"/>
      </w:pPr>
      <w:r w:rsidRPr="004D7E2E">
        <w:tab/>
      </w:r>
      <w:r w:rsidRPr="004D7E2E">
        <w:t xml:space="preserve">Por todo o exposto, a proposição se mostra </w:t>
      </w:r>
      <w:r w:rsidRPr="004D7E2E">
        <w:rPr>
          <w:rStyle w:val="Strong"/>
        </w:rPr>
        <w:t>constitucional, adequada e necessária</w:t>
      </w:r>
      <w:r w:rsidRPr="004D7E2E">
        <w:t xml:space="preserve">, </w:t>
      </w:r>
      <w:r w:rsidRPr="004D7E2E">
        <w:rPr>
          <w:rStyle w:val="Strong"/>
        </w:rPr>
        <w:t>explicita</w:t>
      </w:r>
      <w:r w:rsidRPr="004D7E2E">
        <w:t xml:space="preserve"> a liberdade de associação e </w:t>
      </w:r>
      <w:r w:rsidRPr="004D7E2E">
        <w:rPr>
          <w:rStyle w:val="Strong"/>
        </w:rPr>
        <w:t>harmoniza</w:t>
      </w:r>
      <w:r w:rsidRPr="004D7E2E">
        <w:t xml:space="preserve"> a atuação local com os parâmetros fixados pelos Tribunais Superiores, </w:t>
      </w:r>
      <w:r w:rsidRPr="004D7E2E">
        <w:rPr>
          <w:rStyle w:val="Strong"/>
        </w:rPr>
        <w:t>preservando</w:t>
      </w:r>
      <w:r w:rsidRPr="004D7E2E">
        <w:t xml:space="preserve"> a autonomia das organizações comunitárias e o </w:t>
      </w:r>
      <w:r w:rsidRPr="004D7E2E">
        <w:rPr>
          <w:rStyle w:val="Strong"/>
        </w:rPr>
        <w:t>direito de escolha</w:t>
      </w:r>
      <w:r w:rsidRPr="004D7E2E">
        <w:t xml:space="preserve"> dos cidadãos. Submetemos, assim, o Projeto de Lei à elevada apreciação desta Casa Legislativa, confiantes na sua aprovação.</w:t>
      </w:r>
    </w:p>
    <w:p w:rsidR="009A656F" w:rsidRPr="004D7E2E" w:rsidP="004D7E2E" w14:paraId="425A729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A656F" w:rsidRPr="004D7E2E" w:rsidP="004D7E2E" w14:paraId="22EB420F" w14:textId="77777777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E2E">
        <w:rPr>
          <w:rFonts w:ascii="Times New Roman" w:hAnsi="Times New Roman" w:cs="Times New Roman"/>
          <w:color w:val="auto"/>
          <w:sz w:val="24"/>
          <w:szCs w:val="24"/>
        </w:rPr>
        <w:t>Referências</w:t>
      </w:r>
    </w:p>
    <w:p w:rsidR="009A656F" w:rsidRPr="004D7E2E" w:rsidP="004D7E2E" w14:paraId="3651F132" w14:textId="57F482EE">
      <w:pPr>
        <w:pStyle w:val="NormalWeb"/>
        <w:jc w:val="both"/>
      </w:pPr>
      <w:r w:rsidRPr="004D7E2E">
        <w:t xml:space="preserve">BRASIL. </w:t>
      </w:r>
      <w:r w:rsidRPr="004D7E2E">
        <w:rPr>
          <w:rStyle w:val="Strong"/>
        </w:rPr>
        <w:t>Constituição da República Federativa do Brasil de 1988</w:t>
      </w:r>
      <w:r w:rsidRPr="004D7E2E">
        <w:t>. Brasília: Planalto, 1988. Disponível em: Presidência da República. Acesso em: 11 set. 2025.</w:t>
      </w:r>
      <w:r w:rsidRPr="004D7E2E" w:rsidR="004D7E2E">
        <w:t xml:space="preserve"> </w:t>
      </w:r>
    </w:p>
    <w:p w:rsidR="009A656F" w:rsidRPr="004D7E2E" w:rsidP="004D7E2E" w14:paraId="009EEA67" w14:textId="5A4FC471">
      <w:pPr>
        <w:pStyle w:val="NormalWeb"/>
        <w:jc w:val="both"/>
      </w:pPr>
      <w:r w:rsidRPr="004D7E2E">
        <w:t xml:space="preserve">BRASIL. </w:t>
      </w:r>
      <w:r w:rsidRPr="004D7E2E">
        <w:rPr>
          <w:rStyle w:val="Strong"/>
        </w:rPr>
        <w:t>Lei nº 10.406, de 10 de janeiro de 2002 (Código Civil)</w:t>
      </w:r>
      <w:r w:rsidRPr="004D7E2E">
        <w:t>. Brasília: Planalto, 2002. (</w:t>
      </w:r>
      <w:r w:rsidRPr="004D7E2E">
        <w:t>arts</w:t>
      </w:r>
      <w:r w:rsidRPr="004D7E2E">
        <w:t xml:space="preserve">. 53–59; e </w:t>
      </w:r>
      <w:r w:rsidRPr="004D7E2E">
        <w:t>arts</w:t>
      </w:r>
      <w:r w:rsidRPr="004D7E2E">
        <w:t xml:space="preserve">. 1.331–1.358). Disponível em: Planalto; Senado Federal. Acesso em: 11 set. 2025. </w:t>
      </w:r>
    </w:p>
    <w:p w:rsidR="009A656F" w:rsidRPr="004D7E2E" w:rsidP="004D7E2E" w14:paraId="6B931FB9" w14:textId="4130170A">
      <w:pPr>
        <w:pStyle w:val="NormalWeb"/>
        <w:jc w:val="both"/>
      </w:pPr>
      <w:r w:rsidRPr="004D7E2E">
        <w:t xml:space="preserve">BRASIL. </w:t>
      </w:r>
      <w:r w:rsidRPr="004D7E2E">
        <w:rPr>
          <w:rStyle w:val="Strong"/>
        </w:rPr>
        <w:t>Lei nº 4.591, de 16 de dezembro de 1964</w:t>
      </w:r>
      <w:r w:rsidRPr="004D7E2E">
        <w:t xml:space="preserve"> (Condomínio em edificações e incorporações imobiliárias). Brasília: Planalto, 1964. Acesso em: 11 set. 2025. </w:t>
      </w:r>
    </w:p>
    <w:p w:rsidR="009A656F" w:rsidRPr="004D7E2E" w:rsidP="004D7E2E" w14:paraId="0634DFCB" w14:textId="6CF0BB5D">
      <w:pPr>
        <w:pStyle w:val="NormalWeb"/>
        <w:jc w:val="both"/>
      </w:pPr>
      <w:r w:rsidRPr="004D7E2E">
        <w:t xml:space="preserve">BRASIL. </w:t>
      </w:r>
      <w:r w:rsidRPr="004D7E2E">
        <w:rPr>
          <w:rStyle w:val="Strong"/>
        </w:rPr>
        <w:t>Lei nº 6.766, de 19 de dezembro de 1979</w:t>
      </w:r>
      <w:r w:rsidRPr="004D7E2E">
        <w:t xml:space="preserve"> (Parcelamento do Solo Urbano), com alterações da </w:t>
      </w:r>
      <w:r w:rsidRPr="004D7E2E">
        <w:rPr>
          <w:rStyle w:val="Strong"/>
        </w:rPr>
        <w:t>Lei nº 13.465/2017</w:t>
      </w:r>
      <w:r w:rsidRPr="004D7E2E">
        <w:t xml:space="preserve">. Brasília: Planalto, 1979/2017. Acesso em: 11 set. 2025. </w:t>
      </w:r>
    </w:p>
    <w:p w:rsidR="009A656F" w:rsidRPr="004D7E2E" w:rsidP="004D7E2E" w14:paraId="357A16D5" w14:textId="6A50CBBB">
      <w:pPr>
        <w:pStyle w:val="NormalWeb"/>
        <w:jc w:val="both"/>
      </w:pPr>
      <w:r w:rsidRPr="004D7E2E">
        <w:t xml:space="preserve">STJ – </w:t>
      </w:r>
      <w:r w:rsidRPr="004D7E2E">
        <w:rPr>
          <w:rStyle w:val="Strong"/>
        </w:rPr>
        <w:t>Tema 882 (repetitivos)</w:t>
      </w:r>
      <w:r w:rsidRPr="004D7E2E">
        <w:t xml:space="preserve">. “As taxas de manutenção criadas por associações de moradores não obrigam os não associados ou os que a elas não </w:t>
      </w:r>
      <w:r w:rsidRPr="004D7E2E">
        <w:t>anuíram.”</w:t>
      </w:r>
      <w:r w:rsidRPr="004D7E2E">
        <w:t xml:space="preserve"> Brasília: STJ, 2015. (Notícia institucional; acórdãos representativos). Acesso em: 11 set. 2025. </w:t>
      </w:r>
    </w:p>
    <w:p w:rsidR="009A656F" w:rsidRPr="004D7E2E" w:rsidP="004D7E2E" w14:paraId="27CACA0A" w14:textId="38A4A2F8">
      <w:pPr>
        <w:pStyle w:val="NormalWeb"/>
        <w:jc w:val="both"/>
      </w:pPr>
      <w:r w:rsidRPr="004D7E2E">
        <w:t xml:space="preserve">STF – </w:t>
      </w:r>
      <w:r w:rsidRPr="004D7E2E">
        <w:rPr>
          <w:rStyle w:val="Strong"/>
        </w:rPr>
        <w:t>Tema 492 (repercussão geral)</w:t>
      </w:r>
      <w:r w:rsidRPr="004D7E2E">
        <w:t xml:space="preserve">. “É inconstitucional a cobrança por parte de associação de taxa de manutenção e conservação de loteamento imobiliário urbano de proprietário não associado até o advento da Lei nº 13.465/2017, ou de anterior lei municipal que discipline a questão </w:t>
      </w:r>
      <w:r w:rsidRPr="004D7E2E">
        <w:t>(...).”</w:t>
      </w:r>
      <w:r w:rsidRPr="004D7E2E">
        <w:t xml:space="preserve"> Brasília: STF, 2021. Acesso em: 11 set. 2025. </w:t>
      </w:r>
    </w:p>
    <w:p w:rsidR="008260A9" w:rsidRPr="004D7E2E" w:rsidP="009A656F" w14:paraId="74F03259" w14:textId="557B36A8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4670DB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45B6B85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8260A9" w14:paraId="0DCBBF0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BE46AF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E063E1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B257B97" w14:textId="77777777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2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 w14:paraId="0803098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 w14:paraId="77923AD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 w14:paraId="3FE740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33BB8A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305FB"/>
    <w:rsid w:val="00032043"/>
    <w:rsid w:val="00074F05"/>
    <w:rsid w:val="000B77B5"/>
    <w:rsid w:val="000C4E33"/>
    <w:rsid w:val="000E10E9"/>
    <w:rsid w:val="000E2329"/>
    <w:rsid w:val="001000DC"/>
    <w:rsid w:val="00174C0E"/>
    <w:rsid w:val="00184D4D"/>
    <w:rsid w:val="00205925"/>
    <w:rsid w:val="0024595E"/>
    <w:rsid w:val="00256126"/>
    <w:rsid w:val="00260786"/>
    <w:rsid w:val="002809F9"/>
    <w:rsid w:val="002E6929"/>
    <w:rsid w:val="00320260"/>
    <w:rsid w:val="003312D9"/>
    <w:rsid w:val="00361276"/>
    <w:rsid w:val="003C0BC0"/>
    <w:rsid w:val="00483368"/>
    <w:rsid w:val="00496023"/>
    <w:rsid w:val="00496DBD"/>
    <w:rsid w:val="004A0E5A"/>
    <w:rsid w:val="004C0B1F"/>
    <w:rsid w:val="004D7E2E"/>
    <w:rsid w:val="005829A5"/>
    <w:rsid w:val="005D395D"/>
    <w:rsid w:val="00602B26"/>
    <w:rsid w:val="006239D6"/>
    <w:rsid w:val="006256A6"/>
    <w:rsid w:val="00667DCC"/>
    <w:rsid w:val="00757BAF"/>
    <w:rsid w:val="007D7B4B"/>
    <w:rsid w:val="00811A4D"/>
    <w:rsid w:val="008260A9"/>
    <w:rsid w:val="0083086C"/>
    <w:rsid w:val="008624B9"/>
    <w:rsid w:val="008C0DAC"/>
    <w:rsid w:val="00923274"/>
    <w:rsid w:val="00941E25"/>
    <w:rsid w:val="009926F1"/>
    <w:rsid w:val="009A656F"/>
    <w:rsid w:val="00A25DA5"/>
    <w:rsid w:val="00A4122F"/>
    <w:rsid w:val="00A4633E"/>
    <w:rsid w:val="00A561FC"/>
    <w:rsid w:val="00A71902"/>
    <w:rsid w:val="00AD0F12"/>
    <w:rsid w:val="00BD5153"/>
    <w:rsid w:val="00BE7446"/>
    <w:rsid w:val="00C460DB"/>
    <w:rsid w:val="00C5556E"/>
    <w:rsid w:val="00CA52E4"/>
    <w:rsid w:val="00CF1474"/>
    <w:rsid w:val="00D26629"/>
    <w:rsid w:val="00D41937"/>
    <w:rsid w:val="00D77875"/>
    <w:rsid w:val="00DE1B9B"/>
    <w:rsid w:val="00DF2919"/>
    <w:rsid w:val="00E1316B"/>
    <w:rsid w:val="00E53CC2"/>
    <w:rsid w:val="00E6661A"/>
    <w:rsid w:val="00F10812"/>
    <w:rsid w:val="00F21802"/>
    <w:rsid w:val="00F30B3B"/>
    <w:rsid w:val="00F645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692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A65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65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">
    <w:name w:val="ms-1"/>
    <w:basedOn w:val="DefaultParagraphFont"/>
    <w:rsid w:val="009A656F"/>
  </w:style>
  <w:style w:type="character" w:customStyle="1" w:styleId="max-w-15ch">
    <w:name w:val="max-w-[15ch]"/>
    <w:basedOn w:val="DefaultParagraphFont"/>
    <w:rsid w:val="009A656F"/>
  </w:style>
  <w:style w:type="character" w:customStyle="1" w:styleId="-me-1">
    <w:name w:val="-me-1"/>
    <w:basedOn w:val="DefaultParagraphFont"/>
    <w:rsid w:val="009A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Conta da Microsoft</cp:lastModifiedBy>
  <cp:revision>2</cp:revision>
  <cp:lastPrinted>2025-09-15T12:17:29Z</cp:lastPrinted>
  <dcterms:created xsi:type="dcterms:W3CDTF">2025-09-15T12:05:00Z</dcterms:created>
  <dcterms:modified xsi:type="dcterms:W3CDTF">2025-09-15T12:05:00Z</dcterms:modified>
</cp:coreProperties>
</file>