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E80928" w:rsidRPr="009F6521" w:rsidP="009F6521" w14:paraId="0705C20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715D41" w:rsidP="009F6521" w14:paraId="639DA67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P="009F65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9F6521">
        <w:rPr>
          <w:b/>
          <w:color w:val="000000" w:themeColor="text1"/>
          <w:sz w:val="24"/>
          <w:szCs w:val="24"/>
        </w:rPr>
        <w:t>RELATÓRIO</w:t>
      </w:r>
    </w:p>
    <w:p w:rsidR="00A155B7" w:rsidRPr="009F6521" w:rsidP="009F6521" w14:paraId="052508B3" w14:textId="16AE247F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9F6521">
        <w:rPr>
          <w:rStyle w:val="Strong"/>
          <w:color w:val="000000" w:themeColor="text1"/>
        </w:rPr>
        <w:t>PRO</w:t>
      </w:r>
      <w:r w:rsidRPr="009F6521" w:rsidR="00BA6C13">
        <w:rPr>
          <w:rStyle w:val="Strong"/>
          <w:color w:val="000000" w:themeColor="text1"/>
        </w:rPr>
        <w:t xml:space="preserve">JETO DE </w:t>
      </w:r>
      <w:r w:rsidRPr="009F6521" w:rsidR="00FB2327">
        <w:rPr>
          <w:rStyle w:val="Strong"/>
          <w:color w:val="000000" w:themeColor="text1"/>
        </w:rPr>
        <w:t>LEI</w:t>
      </w:r>
      <w:r w:rsidRPr="009F6521" w:rsidR="00FC6FD0">
        <w:rPr>
          <w:rStyle w:val="Strong"/>
          <w:color w:val="000000" w:themeColor="text1"/>
        </w:rPr>
        <w:t xml:space="preserve"> Nº 111</w:t>
      </w:r>
      <w:r w:rsidRPr="009F6521" w:rsidR="00F74441">
        <w:rPr>
          <w:rStyle w:val="Strong"/>
          <w:color w:val="000000" w:themeColor="text1"/>
        </w:rPr>
        <w:t xml:space="preserve"> DE 2025</w:t>
      </w:r>
    </w:p>
    <w:p w:rsidR="00F74441" w:rsidRPr="009F6521" w:rsidP="009F6521" w14:paraId="4DE9CBF8" w14:textId="474A8E65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9F6521">
        <w:rPr>
          <w:rStyle w:val="Emphasis"/>
          <w:color w:val="000000" w:themeColor="text1"/>
        </w:rPr>
        <w:t>“</w:t>
      </w:r>
      <w:r w:rsidRPr="009F6521" w:rsidR="00FC6FD0">
        <w:rPr>
          <w:rStyle w:val="Emphasis"/>
          <w:color w:val="000000" w:themeColor="text1"/>
        </w:rPr>
        <w:t>AUTORIZA O MUNICÍPIO DE MOGI MIRIM, ESTADO DE SÃO PAULO, A INTEGRAR O CONSÓRCIO INTERMUNICIPAL PARA O DESENVOLVIMENTO SUSTENTÁVEL (CONDESU), ADERINDO AO SEU CONTRATO DE CONSÓRCIO/ESTATUTO SOCIAL</w:t>
      </w:r>
      <w:r w:rsidRPr="009F6521" w:rsidR="004501C2">
        <w:rPr>
          <w:rStyle w:val="Emphasis"/>
          <w:color w:val="000000" w:themeColor="text1"/>
        </w:rPr>
        <w:t>. ”</w:t>
      </w:r>
    </w:p>
    <w:p w:rsidR="00CB631F" w:rsidRPr="009F6521" w:rsidP="009F6521" w14:paraId="6098959F" w14:textId="77777777">
      <w:pPr>
        <w:pStyle w:val="NormalWeb"/>
        <w:spacing w:line="360" w:lineRule="auto"/>
        <w:jc w:val="both"/>
        <w:rPr>
          <w:color w:val="000000" w:themeColor="text1"/>
        </w:rPr>
      </w:pPr>
      <w:r w:rsidRPr="009F6521">
        <w:rPr>
          <w:rStyle w:val="Strong"/>
          <w:color w:val="000000" w:themeColor="text1"/>
        </w:rPr>
        <w:t xml:space="preserve">RELATOR: VEREADOR </w:t>
      </w:r>
      <w:r w:rsidRPr="009F6521" w:rsidR="006F3969">
        <w:rPr>
          <w:rStyle w:val="Strong"/>
          <w:color w:val="000000" w:themeColor="text1"/>
        </w:rPr>
        <w:t>MANOEL EDUARDO PEREIRA DA CRUZ PALOMINO</w:t>
      </w:r>
    </w:p>
    <w:p w:rsidR="00F74441" w:rsidRPr="009F6521" w:rsidP="009F6521" w14:paraId="255CBB13" w14:textId="58B0EC6C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RPr="009F6521" w:rsidP="009F6521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9F6521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343F03" w:rsidRPr="009F6521" w:rsidP="009F6521" w14:paraId="207909B1" w14:textId="77777777">
      <w:pPr>
        <w:spacing w:line="360" w:lineRule="auto"/>
        <w:rPr>
          <w:sz w:val="24"/>
          <w:szCs w:val="24"/>
        </w:rPr>
      </w:pPr>
    </w:p>
    <w:p w:rsidR="00FC6FD0" w:rsidRPr="009F6521" w:rsidP="009F6521" w14:paraId="68507C6B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F6521">
        <w:rPr>
          <w:sz w:val="24"/>
          <w:szCs w:val="24"/>
        </w:rPr>
        <w:t xml:space="preserve">O </w:t>
      </w:r>
      <w:r w:rsidRPr="009F6521" w:rsidR="00EA3CD8">
        <w:rPr>
          <w:b/>
          <w:sz w:val="24"/>
          <w:szCs w:val="24"/>
        </w:rPr>
        <w:t xml:space="preserve">Projeto de Lei nº </w:t>
      </w:r>
      <w:r w:rsidRPr="009F6521">
        <w:rPr>
          <w:b/>
          <w:sz w:val="24"/>
          <w:szCs w:val="24"/>
        </w:rPr>
        <w:t>111</w:t>
      </w:r>
      <w:r w:rsidRPr="009F6521" w:rsidR="00EA3CD8">
        <w:rPr>
          <w:b/>
          <w:sz w:val="24"/>
          <w:szCs w:val="24"/>
        </w:rPr>
        <w:t>/2025</w:t>
      </w:r>
      <w:r w:rsidRPr="009F6521" w:rsidR="004E3A21">
        <w:rPr>
          <w:b/>
          <w:sz w:val="24"/>
          <w:szCs w:val="24"/>
        </w:rPr>
        <w:t>,</w:t>
      </w:r>
      <w:r w:rsidRPr="009F6521" w:rsidR="004E3A21">
        <w:rPr>
          <w:sz w:val="24"/>
          <w:szCs w:val="24"/>
        </w:rPr>
        <w:t xml:space="preserve"> de autoria d</w:t>
      </w:r>
      <w:r w:rsidRPr="009F6521" w:rsidR="00EA3CD8">
        <w:rPr>
          <w:sz w:val="24"/>
          <w:szCs w:val="24"/>
        </w:rPr>
        <w:t>o</w:t>
      </w:r>
      <w:r w:rsidRPr="009F6521" w:rsidR="004E3A21">
        <w:rPr>
          <w:sz w:val="24"/>
          <w:szCs w:val="24"/>
        </w:rPr>
        <w:t xml:space="preserve"> </w:t>
      </w:r>
      <w:r w:rsidRPr="009F6521" w:rsidR="000131BA">
        <w:rPr>
          <w:sz w:val="24"/>
          <w:szCs w:val="24"/>
        </w:rPr>
        <w:t xml:space="preserve">Prefeito Municipal Dr. Paulo de Oliveira e Silva, </w:t>
      </w:r>
      <w:r w:rsidRPr="009F6521">
        <w:rPr>
          <w:sz w:val="24"/>
          <w:szCs w:val="24"/>
        </w:rPr>
        <w:t xml:space="preserve">vem à Câmara acompanhado da </w:t>
      </w:r>
      <w:r w:rsidRPr="009F6521">
        <w:rPr>
          <w:rStyle w:val="Strong"/>
          <w:sz w:val="24"/>
          <w:szCs w:val="24"/>
        </w:rPr>
        <w:t>Mensagem nº 038/2025</w:t>
      </w:r>
      <w:r w:rsidRPr="009F6521">
        <w:rPr>
          <w:sz w:val="24"/>
          <w:szCs w:val="24"/>
        </w:rPr>
        <w:t xml:space="preserve"> (Proc. SEI nº 001194.000109/2025-46), por meio da qual o Chefe do Executivo solicita autorização legislativa para a adesão de Mogi Mirim ao </w:t>
      </w:r>
      <w:r w:rsidRPr="009F6521">
        <w:rPr>
          <w:rStyle w:val="Strong"/>
          <w:sz w:val="24"/>
          <w:szCs w:val="24"/>
        </w:rPr>
        <w:t>CONDESU</w:t>
      </w:r>
      <w:r w:rsidRPr="009F6521">
        <w:rPr>
          <w:sz w:val="24"/>
          <w:szCs w:val="24"/>
        </w:rPr>
        <w:t xml:space="preserve"> e a vinculação do Município ao respectivo </w:t>
      </w:r>
      <w:r w:rsidRPr="009F6521">
        <w:rPr>
          <w:rStyle w:val="Strong"/>
          <w:sz w:val="24"/>
          <w:szCs w:val="24"/>
        </w:rPr>
        <w:t>Contrato de Consórcio/Estatuto Social</w:t>
      </w:r>
      <w:r w:rsidRPr="009F6521">
        <w:rPr>
          <w:sz w:val="24"/>
          <w:szCs w:val="24"/>
        </w:rPr>
        <w:t xml:space="preserve"> (Anexo I). A mensagem ressalta ganhos de eficiência, economicidade e alinhamento a práticas modernas de gestão; afirma que há </w:t>
      </w:r>
      <w:r w:rsidRPr="009F6521">
        <w:rPr>
          <w:rStyle w:val="Strong"/>
          <w:sz w:val="24"/>
          <w:szCs w:val="24"/>
        </w:rPr>
        <w:t>previsão orçamentária</w:t>
      </w:r>
      <w:r w:rsidRPr="009F6521">
        <w:rPr>
          <w:sz w:val="24"/>
          <w:szCs w:val="24"/>
        </w:rPr>
        <w:t xml:space="preserve"> e que a política será inserida no </w:t>
      </w:r>
      <w:r w:rsidRPr="009F6521">
        <w:rPr>
          <w:rStyle w:val="Strong"/>
          <w:sz w:val="24"/>
          <w:szCs w:val="24"/>
        </w:rPr>
        <w:t>PPA</w:t>
      </w:r>
      <w:r w:rsidRPr="009F6521">
        <w:rPr>
          <w:sz w:val="24"/>
          <w:szCs w:val="24"/>
        </w:rPr>
        <w:t xml:space="preserve"> e na </w:t>
      </w:r>
      <w:r w:rsidRPr="009F6521">
        <w:rPr>
          <w:rStyle w:val="Strong"/>
          <w:sz w:val="24"/>
          <w:szCs w:val="24"/>
        </w:rPr>
        <w:t>LDO</w:t>
      </w:r>
      <w:r w:rsidRPr="009F6521">
        <w:rPr>
          <w:sz w:val="24"/>
          <w:szCs w:val="24"/>
        </w:rPr>
        <w:t>.</w:t>
      </w:r>
    </w:p>
    <w:p w:rsidR="00FC6FD0" w:rsidRPr="009F6521" w:rsidP="009F6521" w14:paraId="11D97996" w14:textId="6E69C701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F6521">
        <w:rPr>
          <w:sz w:val="24"/>
          <w:szCs w:val="24"/>
        </w:rPr>
        <w:t xml:space="preserve">O texto do PL estrutura-se assim: </w:t>
      </w:r>
      <w:r w:rsidRPr="009F6521">
        <w:rPr>
          <w:rStyle w:val="Strong"/>
          <w:sz w:val="24"/>
          <w:szCs w:val="24"/>
        </w:rPr>
        <w:t>art. 1º</w:t>
      </w:r>
      <w:r w:rsidRPr="009F6521">
        <w:rPr>
          <w:sz w:val="24"/>
          <w:szCs w:val="24"/>
        </w:rPr>
        <w:t xml:space="preserve"> autoriza a adesão; </w:t>
      </w:r>
      <w:r w:rsidRPr="009F6521">
        <w:rPr>
          <w:rStyle w:val="Strong"/>
          <w:sz w:val="24"/>
          <w:szCs w:val="24"/>
        </w:rPr>
        <w:t>art. 2º</w:t>
      </w:r>
      <w:r w:rsidRPr="009F6521">
        <w:rPr>
          <w:sz w:val="24"/>
          <w:szCs w:val="24"/>
        </w:rPr>
        <w:t xml:space="preserve"> incorpora o </w:t>
      </w:r>
      <w:r w:rsidRPr="009F6521">
        <w:rPr>
          <w:rStyle w:val="Strong"/>
          <w:sz w:val="24"/>
          <w:szCs w:val="24"/>
        </w:rPr>
        <w:t>Contrato de Consórcio/Estatuto</w:t>
      </w:r>
      <w:r w:rsidRPr="009F6521">
        <w:rPr>
          <w:sz w:val="24"/>
          <w:szCs w:val="24"/>
        </w:rPr>
        <w:t xml:space="preserve"> como </w:t>
      </w:r>
      <w:r w:rsidRPr="009F6521">
        <w:rPr>
          <w:rStyle w:val="Strong"/>
          <w:sz w:val="24"/>
          <w:szCs w:val="24"/>
        </w:rPr>
        <w:t>Anexo I</w:t>
      </w:r>
      <w:r w:rsidRPr="009F6521">
        <w:rPr>
          <w:sz w:val="24"/>
          <w:szCs w:val="24"/>
        </w:rPr>
        <w:t xml:space="preserve">; </w:t>
      </w:r>
      <w:r w:rsidRPr="009F6521">
        <w:rPr>
          <w:rStyle w:val="Strong"/>
          <w:sz w:val="24"/>
          <w:szCs w:val="24"/>
        </w:rPr>
        <w:t>art. 3º</w:t>
      </w:r>
      <w:r w:rsidRPr="009F6521">
        <w:rPr>
          <w:sz w:val="24"/>
          <w:szCs w:val="24"/>
        </w:rPr>
        <w:t xml:space="preserve"> dispõe sobre a cobertura orçamentária e integração ao </w:t>
      </w:r>
      <w:r w:rsidRPr="009F6521">
        <w:rPr>
          <w:rStyle w:val="Strong"/>
          <w:sz w:val="24"/>
          <w:szCs w:val="24"/>
        </w:rPr>
        <w:t>PPA/LDO</w:t>
      </w:r>
      <w:r w:rsidRPr="009F6521">
        <w:rPr>
          <w:sz w:val="24"/>
          <w:szCs w:val="24"/>
        </w:rPr>
        <w:t xml:space="preserve">; </w:t>
      </w:r>
      <w:r w:rsidRPr="009F6521">
        <w:rPr>
          <w:rStyle w:val="Strong"/>
          <w:sz w:val="24"/>
          <w:szCs w:val="24"/>
        </w:rPr>
        <w:t>art. 4º</w:t>
      </w:r>
      <w:r w:rsidRPr="009F6521">
        <w:rPr>
          <w:sz w:val="24"/>
          <w:szCs w:val="24"/>
        </w:rPr>
        <w:t xml:space="preserve"> condiciona eventual revogação à </w:t>
      </w:r>
      <w:r w:rsidRPr="009F6521">
        <w:rPr>
          <w:rStyle w:val="Strong"/>
          <w:sz w:val="24"/>
          <w:szCs w:val="24"/>
        </w:rPr>
        <w:t>autorização legislativa específica</w:t>
      </w:r>
      <w:r w:rsidRPr="009F6521">
        <w:rPr>
          <w:sz w:val="24"/>
          <w:szCs w:val="24"/>
        </w:rPr>
        <w:t xml:space="preserve">; </w:t>
      </w:r>
      <w:r w:rsidRPr="009F6521">
        <w:rPr>
          <w:rStyle w:val="Strong"/>
          <w:sz w:val="24"/>
          <w:szCs w:val="24"/>
        </w:rPr>
        <w:t>art. 5º</w:t>
      </w:r>
      <w:r w:rsidRPr="009F6521">
        <w:rPr>
          <w:sz w:val="24"/>
          <w:szCs w:val="24"/>
        </w:rPr>
        <w:t xml:space="preserve"> trata da vigência.</w:t>
      </w:r>
    </w:p>
    <w:p w:rsidR="00FC6FD0" w:rsidP="009F6521" w14:paraId="12479CD5" w14:textId="77777777">
      <w:pPr>
        <w:pStyle w:val="NormalWeb"/>
        <w:spacing w:line="360" w:lineRule="auto"/>
        <w:jc w:val="both"/>
      </w:pPr>
      <w:r w:rsidRPr="009F6521">
        <w:t xml:space="preserve">No âmbito das comissões, houve </w:t>
      </w:r>
      <w:r w:rsidRPr="009F6521">
        <w:rPr>
          <w:rStyle w:val="Strong"/>
        </w:rPr>
        <w:t>reunião em 03/09/2025</w:t>
      </w:r>
      <w:r w:rsidRPr="009F6521">
        <w:t xml:space="preserve"> com presença de representantes do Executivo. Registrou-se, entre outros pontos, a </w:t>
      </w:r>
      <w:r w:rsidRPr="009F6521">
        <w:rPr>
          <w:rStyle w:val="Strong"/>
        </w:rPr>
        <w:t>diferenciação técnica entre o CEMMIL e o CONDESU</w:t>
      </w:r>
      <w:r w:rsidRPr="009F6521">
        <w:t xml:space="preserve"> (mão de obra x contratação de empresas), a indicação de que o </w:t>
      </w:r>
      <w:r w:rsidRPr="009F6521">
        <w:rPr>
          <w:rStyle w:val="Strong"/>
        </w:rPr>
        <w:t>CONDESU abrangerá a iluminação pública</w:t>
      </w:r>
      <w:r w:rsidRPr="009F6521">
        <w:t xml:space="preserve"> e informação de </w:t>
      </w:r>
      <w:r w:rsidRPr="009F6521">
        <w:rPr>
          <w:rStyle w:val="Strong"/>
        </w:rPr>
        <w:t>cota fixa de R$ 19.900,00</w:t>
      </w:r>
      <w:r w:rsidRPr="009F6521">
        <w:t xml:space="preserve"> para a gestão do consórcio.</w:t>
      </w:r>
    </w:p>
    <w:p w:rsidR="00715D41" w:rsidP="009F6521" w14:paraId="32086D50" w14:textId="77777777">
      <w:pPr>
        <w:pStyle w:val="NormalWeb"/>
        <w:spacing w:line="360" w:lineRule="auto"/>
        <w:jc w:val="both"/>
      </w:pPr>
    </w:p>
    <w:p w:rsidR="009F6521" w:rsidRPr="009F6521" w:rsidP="009F6521" w14:paraId="15FED600" w14:textId="77777777">
      <w:pPr>
        <w:pStyle w:val="NormalWeb"/>
        <w:spacing w:line="360" w:lineRule="auto"/>
        <w:jc w:val="both"/>
      </w:pPr>
    </w:p>
    <w:p w:rsidR="00FC6FD0" w:rsidRPr="009F6521" w:rsidP="009F6521" w14:paraId="2454C84A" w14:textId="28CA03EA">
      <w:pPr>
        <w:pStyle w:val="NormalWeb"/>
        <w:spacing w:line="360" w:lineRule="auto"/>
        <w:jc w:val="both"/>
      </w:pPr>
      <w:r w:rsidRPr="009F6521">
        <w:t xml:space="preserve">A </w:t>
      </w:r>
      <w:r w:rsidRPr="009F6521">
        <w:rPr>
          <w:rStyle w:val="Strong"/>
        </w:rPr>
        <w:t>consultoria jurídica externa (SGP)</w:t>
      </w:r>
      <w:r w:rsidRPr="009F6521">
        <w:t xml:space="preserve"> foi instada a opinar e manifestou-se pela </w:t>
      </w:r>
      <w:r w:rsidRPr="009F6521">
        <w:rPr>
          <w:rStyle w:val="Strong"/>
        </w:rPr>
        <w:t>regularidade da iniciativa do Chefe do Executivo</w:t>
      </w:r>
      <w:r w:rsidRPr="009F6521">
        <w:t xml:space="preserve"> e pela </w:t>
      </w:r>
      <w:r w:rsidRPr="009F6521">
        <w:rPr>
          <w:rStyle w:val="Strong"/>
        </w:rPr>
        <w:t>conformidade com a Lei nº 11.107/2005</w:t>
      </w:r>
      <w:r w:rsidRPr="009F6521">
        <w:t>, sem óbices constitucionais/legais à tramitação.</w:t>
      </w:r>
    </w:p>
    <w:p w:rsidR="00FC6FD0" w:rsidRPr="009F6521" w:rsidP="009F6521" w14:paraId="7C114272" w14:textId="128A1CFE">
      <w:pPr>
        <w:pStyle w:val="NormalWeb"/>
        <w:spacing w:line="360" w:lineRule="auto"/>
        <w:jc w:val="both"/>
      </w:pPr>
      <w:r w:rsidRPr="009F6521">
        <w:t xml:space="preserve">A </w:t>
      </w:r>
      <w:r w:rsidRPr="009F6521">
        <w:rPr>
          <w:rStyle w:val="Strong"/>
        </w:rPr>
        <w:t>Procuradoria Jurídica do Executivo</w:t>
      </w:r>
      <w:r w:rsidRPr="009F6521">
        <w:t xml:space="preserve"> emitiu os </w:t>
      </w:r>
      <w:r w:rsidRPr="009F6521">
        <w:rPr>
          <w:rStyle w:val="Strong"/>
        </w:rPr>
        <w:t>Despachos nº 2009/2025 e nº 2042/2025</w:t>
      </w:r>
      <w:r w:rsidRPr="009F6521">
        <w:t xml:space="preserve">, concluindo pela </w:t>
      </w:r>
      <w:r w:rsidRPr="009F6521">
        <w:rPr>
          <w:rStyle w:val="Strong"/>
        </w:rPr>
        <w:t>viabilidade jurídica</w:t>
      </w:r>
      <w:r w:rsidRPr="009F6521">
        <w:t xml:space="preserve"> da adesão e — inicialmente — </w:t>
      </w:r>
      <w:r w:rsidRPr="009F6521">
        <w:rPr>
          <w:rStyle w:val="Strong"/>
        </w:rPr>
        <w:t>recomendando</w:t>
      </w:r>
      <w:r w:rsidRPr="009F6521">
        <w:t xml:space="preserve"> a juntada do </w:t>
      </w:r>
      <w:r w:rsidRPr="009F6521">
        <w:rPr>
          <w:rStyle w:val="Strong"/>
        </w:rPr>
        <w:t>estatuto</w:t>
      </w:r>
      <w:r w:rsidRPr="009F6521">
        <w:t xml:space="preserve">, </w:t>
      </w:r>
      <w:r w:rsidRPr="009F6521">
        <w:rPr>
          <w:rStyle w:val="Strong"/>
        </w:rPr>
        <w:t>protocolo de intenções</w:t>
      </w:r>
      <w:r w:rsidRPr="009F6521">
        <w:t xml:space="preserve">, </w:t>
      </w:r>
      <w:r w:rsidRPr="009F6521">
        <w:rPr>
          <w:rStyle w:val="Strong"/>
        </w:rPr>
        <w:t>contrato de consórcio</w:t>
      </w:r>
      <w:r w:rsidRPr="009F6521">
        <w:t xml:space="preserve"> e </w:t>
      </w:r>
      <w:r w:rsidRPr="009F6521">
        <w:rPr>
          <w:rStyle w:val="Strong"/>
        </w:rPr>
        <w:t>CNPJ</w:t>
      </w:r>
      <w:r w:rsidRPr="009F6521">
        <w:t xml:space="preserve"> para análise de cláusulas. Em manifestação superveniente, consignou que a </w:t>
      </w:r>
      <w:r w:rsidRPr="009F6521">
        <w:rPr>
          <w:rStyle w:val="Strong"/>
        </w:rPr>
        <w:t>documentação apresentada pelo CONDESU está apropriada</w:t>
      </w:r>
      <w:r w:rsidRPr="009F6521">
        <w:t xml:space="preserve"> (com a ressalva de justificar tecnicamente a complementariedade com o CEMMIL e de ouvir Finanças sobre o custeio).</w:t>
      </w:r>
    </w:p>
    <w:p w:rsidR="00FC6FD0" w:rsidRPr="009F6521" w:rsidP="009F6521" w14:paraId="5786F392" w14:textId="401D8B3C">
      <w:pPr>
        <w:pStyle w:val="NormalWeb"/>
        <w:spacing w:line="360" w:lineRule="auto"/>
        <w:jc w:val="both"/>
      </w:pPr>
      <w:r w:rsidRPr="009F6521">
        <w:t xml:space="preserve">Entre os anexos, consta o </w:t>
      </w:r>
      <w:r w:rsidRPr="009F6521">
        <w:rPr>
          <w:rStyle w:val="Strong"/>
        </w:rPr>
        <w:t>Comprovante de Inscrição no CNPJ</w:t>
      </w:r>
      <w:r w:rsidRPr="009F6521">
        <w:t xml:space="preserve"> do CONDESU (</w:t>
      </w:r>
      <w:r w:rsidRPr="009F6521">
        <w:rPr>
          <w:rStyle w:val="Strong"/>
        </w:rPr>
        <w:t>11.166.922/0001-90</w:t>
      </w:r>
      <w:r w:rsidRPr="009F6521">
        <w:t xml:space="preserve">), com </w:t>
      </w:r>
      <w:r w:rsidRPr="009F6521">
        <w:rPr>
          <w:rStyle w:val="Strong"/>
        </w:rPr>
        <w:t>situação cadastral ATIVA</w:t>
      </w:r>
      <w:r w:rsidRPr="009F6521">
        <w:t xml:space="preserve"> desde </w:t>
      </w:r>
      <w:r w:rsidRPr="009F6521">
        <w:rPr>
          <w:rStyle w:val="Strong"/>
        </w:rPr>
        <w:t>14/09/2009</w:t>
      </w:r>
      <w:r w:rsidRPr="009F6521">
        <w:t>, corroborando a regularidade jurídica da entidade.</w:t>
      </w:r>
    </w:p>
    <w:p w:rsidR="00F74441" w:rsidRPr="009F6521" w:rsidP="009F6521" w14:paraId="380FED2D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9F6521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343F03" w:rsidRPr="009F6521" w:rsidP="009F6521" w14:paraId="26764AB0" w14:textId="77777777">
      <w:pPr>
        <w:spacing w:line="360" w:lineRule="auto"/>
        <w:rPr>
          <w:sz w:val="24"/>
          <w:szCs w:val="24"/>
        </w:rPr>
      </w:pPr>
    </w:p>
    <w:p w:rsidR="001D0C97" w:rsidRPr="009F6521" w:rsidP="009F6521" w14:paraId="589A426F" w14:textId="050419C4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F6521">
        <w:rPr>
          <w:rFonts w:ascii="Times New Roman" w:hAnsi="Times New Roman" w:cs="Times New Roman"/>
          <w:b/>
          <w:bCs/>
          <w:sz w:val="24"/>
          <w:szCs w:val="24"/>
        </w:rPr>
        <w:t>Legalidade e Constitucionalidade</w:t>
      </w:r>
    </w:p>
    <w:p w:rsidR="0062715A" w:rsidP="009F6521" w14:paraId="5ED359D2" w14:textId="77777777">
      <w:pPr>
        <w:pStyle w:val="BodyText"/>
        <w:spacing w:line="360" w:lineRule="auto"/>
        <w:jc w:val="both"/>
        <w:rPr>
          <w:sz w:val="24"/>
          <w:szCs w:val="24"/>
        </w:rPr>
      </w:pPr>
      <w:r w:rsidRPr="009F6521">
        <w:rPr>
          <w:sz w:val="24"/>
          <w:szCs w:val="24"/>
        </w:rPr>
        <w:t xml:space="preserve">A matéria envolve </w:t>
      </w:r>
      <w:r w:rsidRPr="009F6521">
        <w:rPr>
          <w:rStyle w:val="Strong"/>
          <w:sz w:val="24"/>
          <w:szCs w:val="24"/>
        </w:rPr>
        <w:t>gestão associada de serviços públicos</w:t>
      </w:r>
      <w:r w:rsidRPr="009F6521">
        <w:rPr>
          <w:sz w:val="24"/>
          <w:szCs w:val="24"/>
        </w:rPr>
        <w:t xml:space="preserve"> por meio de </w:t>
      </w:r>
      <w:r w:rsidRPr="009F6521">
        <w:rPr>
          <w:rStyle w:val="Strong"/>
          <w:sz w:val="24"/>
          <w:szCs w:val="24"/>
        </w:rPr>
        <w:t>consórcio público</w:t>
      </w:r>
      <w:r w:rsidRPr="009F6521">
        <w:rPr>
          <w:sz w:val="24"/>
          <w:szCs w:val="24"/>
        </w:rPr>
        <w:t xml:space="preserve">, hipótese </w:t>
      </w:r>
      <w:r w:rsidRPr="009F6521">
        <w:rPr>
          <w:rStyle w:val="Strong"/>
          <w:sz w:val="24"/>
          <w:szCs w:val="24"/>
        </w:rPr>
        <w:t>expressamente admitida</w:t>
      </w:r>
      <w:r w:rsidRPr="009F6521">
        <w:rPr>
          <w:sz w:val="24"/>
          <w:szCs w:val="24"/>
        </w:rPr>
        <w:t xml:space="preserve"> pela </w:t>
      </w:r>
      <w:r w:rsidRPr="009F6521">
        <w:rPr>
          <w:rStyle w:val="Strong"/>
          <w:sz w:val="24"/>
          <w:szCs w:val="24"/>
        </w:rPr>
        <w:t>Constituição Federal (art. 241)</w:t>
      </w:r>
      <w:r w:rsidRPr="009F6521">
        <w:rPr>
          <w:sz w:val="24"/>
          <w:szCs w:val="24"/>
        </w:rPr>
        <w:t xml:space="preserve"> e pelas </w:t>
      </w:r>
      <w:r w:rsidRPr="009F6521">
        <w:rPr>
          <w:rStyle w:val="Strong"/>
          <w:sz w:val="24"/>
          <w:szCs w:val="24"/>
        </w:rPr>
        <w:t>normas gerais da Lei nº 11.107/2005</w:t>
      </w:r>
      <w:r w:rsidRPr="009F6521">
        <w:rPr>
          <w:sz w:val="24"/>
          <w:szCs w:val="24"/>
        </w:rPr>
        <w:t xml:space="preserve"> (exigência de </w:t>
      </w:r>
      <w:r w:rsidRPr="009F6521">
        <w:rPr>
          <w:rStyle w:val="Strong"/>
          <w:sz w:val="24"/>
          <w:szCs w:val="24"/>
        </w:rPr>
        <w:t>lei autorizativa específica</w:t>
      </w:r>
      <w:r w:rsidRPr="009F6521">
        <w:rPr>
          <w:sz w:val="24"/>
          <w:szCs w:val="24"/>
        </w:rPr>
        <w:t xml:space="preserve"> e de </w:t>
      </w:r>
      <w:r w:rsidRPr="009F6521">
        <w:rPr>
          <w:rStyle w:val="Strong"/>
          <w:sz w:val="24"/>
          <w:szCs w:val="24"/>
        </w:rPr>
        <w:t>contrato de consórcio</w:t>
      </w:r>
      <w:r w:rsidRPr="009F6521">
        <w:rPr>
          <w:sz w:val="24"/>
          <w:szCs w:val="24"/>
        </w:rPr>
        <w:t xml:space="preserve">). </w:t>
      </w:r>
    </w:p>
    <w:p w:rsidR="00FC6FD0" w:rsidP="009F6521" w14:paraId="5E2963DA" w14:textId="680471BF">
      <w:pPr>
        <w:pStyle w:val="BodyText"/>
        <w:spacing w:line="360" w:lineRule="auto"/>
        <w:jc w:val="both"/>
        <w:rPr>
          <w:sz w:val="24"/>
          <w:szCs w:val="24"/>
        </w:rPr>
      </w:pPr>
      <w:r w:rsidRPr="009F6521">
        <w:rPr>
          <w:sz w:val="24"/>
          <w:szCs w:val="24"/>
        </w:rPr>
        <w:t xml:space="preserve">A iniciativa do </w:t>
      </w:r>
      <w:r w:rsidRPr="009F6521">
        <w:rPr>
          <w:rStyle w:val="Strong"/>
          <w:sz w:val="24"/>
          <w:szCs w:val="24"/>
        </w:rPr>
        <w:t>Chefe do Poder Executivo</w:t>
      </w:r>
      <w:r w:rsidRPr="009F6521">
        <w:rPr>
          <w:sz w:val="24"/>
          <w:szCs w:val="24"/>
        </w:rPr>
        <w:t xml:space="preserve"> para propor o PL é adequada — entendimento também afirmado na </w:t>
      </w:r>
      <w:r w:rsidRPr="009F6521">
        <w:rPr>
          <w:rStyle w:val="Strong"/>
          <w:sz w:val="24"/>
          <w:szCs w:val="24"/>
        </w:rPr>
        <w:t>orientação da SGP</w:t>
      </w:r>
      <w:r w:rsidRPr="009F6521">
        <w:rPr>
          <w:sz w:val="24"/>
          <w:szCs w:val="24"/>
        </w:rPr>
        <w:t xml:space="preserve">. </w:t>
      </w:r>
      <w:r w:rsidR="0062715A">
        <w:rPr>
          <w:sz w:val="24"/>
          <w:szCs w:val="24"/>
        </w:rPr>
        <w:t>O projeto de lei</w:t>
      </w:r>
      <w:r w:rsidRPr="009F6521">
        <w:rPr>
          <w:sz w:val="24"/>
          <w:szCs w:val="24"/>
        </w:rPr>
        <w:t xml:space="preserve"> observa as exigências estruturais usuais: </w:t>
      </w:r>
      <w:r w:rsidRPr="009F6521">
        <w:rPr>
          <w:rStyle w:val="Strong"/>
          <w:sz w:val="24"/>
          <w:szCs w:val="24"/>
        </w:rPr>
        <w:t>autorização legislativa</w:t>
      </w:r>
      <w:r w:rsidRPr="009F6521">
        <w:rPr>
          <w:sz w:val="24"/>
          <w:szCs w:val="24"/>
        </w:rPr>
        <w:t xml:space="preserve"> (art. 1º), </w:t>
      </w:r>
      <w:r w:rsidRPr="009F6521">
        <w:rPr>
          <w:rStyle w:val="Strong"/>
          <w:sz w:val="24"/>
          <w:szCs w:val="24"/>
        </w:rPr>
        <w:t>vinculação ao contrato/estatuto</w:t>
      </w:r>
      <w:r w:rsidRPr="009F6521">
        <w:rPr>
          <w:sz w:val="24"/>
          <w:szCs w:val="24"/>
        </w:rPr>
        <w:t xml:space="preserve"> (art. 2º), </w:t>
      </w:r>
      <w:r w:rsidRPr="009F6521">
        <w:rPr>
          <w:rStyle w:val="Strong"/>
          <w:sz w:val="24"/>
          <w:szCs w:val="24"/>
        </w:rPr>
        <w:t>cobertura orçamentária e planejamento</w:t>
      </w:r>
      <w:r w:rsidRPr="009F6521">
        <w:rPr>
          <w:sz w:val="24"/>
          <w:szCs w:val="24"/>
        </w:rPr>
        <w:t xml:space="preserve"> (art. 3º) e </w:t>
      </w:r>
      <w:r w:rsidRPr="009F6521">
        <w:rPr>
          <w:rStyle w:val="Strong"/>
          <w:sz w:val="24"/>
          <w:szCs w:val="24"/>
        </w:rPr>
        <w:t>regramento de revogação</w:t>
      </w:r>
      <w:r w:rsidRPr="009F6521">
        <w:rPr>
          <w:sz w:val="24"/>
          <w:szCs w:val="24"/>
        </w:rPr>
        <w:t xml:space="preserve"> (art. 4º). Tais elementos dão cumprimento às etapas indicadas pela Procuradoria (lei específica; protocolo/contrato; publicidade dos atos).</w:t>
      </w:r>
    </w:p>
    <w:p w:rsidR="00715D41" w:rsidP="009F6521" w14:paraId="08566B7C" w14:textId="77777777">
      <w:pPr>
        <w:pStyle w:val="BodyText"/>
        <w:spacing w:line="360" w:lineRule="auto"/>
        <w:jc w:val="both"/>
        <w:rPr>
          <w:sz w:val="24"/>
          <w:szCs w:val="24"/>
        </w:rPr>
      </w:pPr>
    </w:p>
    <w:p w:rsidR="00715D41" w:rsidRPr="009F6521" w:rsidP="009F6521" w14:paraId="76662A38" w14:textId="77777777">
      <w:pPr>
        <w:pStyle w:val="BodyText"/>
        <w:spacing w:line="360" w:lineRule="auto"/>
        <w:jc w:val="both"/>
        <w:rPr>
          <w:sz w:val="24"/>
          <w:szCs w:val="24"/>
        </w:rPr>
      </w:pPr>
    </w:p>
    <w:p w:rsidR="00FC6FD0" w:rsidRPr="009F6521" w:rsidP="009F6521" w14:paraId="706AAF9E" w14:textId="6E53C953">
      <w:pPr>
        <w:pStyle w:val="BodyText"/>
        <w:spacing w:line="360" w:lineRule="auto"/>
        <w:jc w:val="both"/>
        <w:rPr>
          <w:sz w:val="24"/>
          <w:szCs w:val="24"/>
        </w:rPr>
      </w:pPr>
      <w:r w:rsidRPr="009F6521">
        <w:rPr>
          <w:sz w:val="24"/>
          <w:szCs w:val="24"/>
        </w:rPr>
        <w:t>A exigência inicial d</w:t>
      </w:r>
      <w:r w:rsidR="008F7930">
        <w:rPr>
          <w:sz w:val="24"/>
          <w:szCs w:val="24"/>
        </w:rPr>
        <w:t>e complementação documental foi</w:t>
      </w:r>
      <w:r w:rsidR="008F7930">
        <w:t xml:space="preserve"> </w:t>
      </w:r>
      <w:r w:rsidRPr="008F7930" w:rsidR="008F7930">
        <w:rPr>
          <w:sz w:val="24"/>
          <w:szCs w:val="24"/>
        </w:rPr>
        <w:t>atendida, com a apresentação das peças comprobatórias necessárias, entre elas o comprovante de CNPJ ativo do CONDESU</w:t>
      </w:r>
      <w:r w:rsidR="008F7930">
        <w:rPr>
          <w:sz w:val="24"/>
          <w:szCs w:val="24"/>
        </w:rPr>
        <w:t xml:space="preserve">. </w:t>
      </w:r>
      <w:r w:rsidRPr="009F6521" w:rsidR="00CE23F2">
        <w:rPr>
          <w:sz w:val="24"/>
          <w:szCs w:val="24"/>
        </w:rPr>
        <w:t xml:space="preserve">Em síntese, não se verificam vícios de </w:t>
      </w:r>
      <w:r w:rsidRPr="009F6521" w:rsidR="00CE23F2">
        <w:rPr>
          <w:rStyle w:val="Strong"/>
          <w:sz w:val="24"/>
          <w:szCs w:val="24"/>
        </w:rPr>
        <w:t>inconstitucionalidade</w:t>
      </w:r>
      <w:r w:rsidRPr="009F6521" w:rsidR="00CE23F2">
        <w:rPr>
          <w:sz w:val="24"/>
          <w:szCs w:val="24"/>
        </w:rPr>
        <w:t xml:space="preserve"> (material ou formal) nem de </w:t>
      </w:r>
      <w:r w:rsidRPr="009F6521" w:rsidR="00CE23F2">
        <w:rPr>
          <w:rStyle w:val="Strong"/>
          <w:sz w:val="24"/>
          <w:szCs w:val="24"/>
        </w:rPr>
        <w:t>ilegalidade</w:t>
      </w:r>
      <w:r w:rsidRPr="009F6521" w:rsidR="00CE23F2">
        <w:rPr>
          <w:sz w:val="24"/>
          <w:szCs w:val="24"/>
        </w:rPr>
        <w:t xml:space="preserve"> que impeçam a tramitação e aprovação do PL 111/2025, à luz do ordenamento aplicável e das manifestações técnicas constantes dos autos.</w:t>
      </w:r>
    </w:p>
    <w:p w:rsidR="00FC6FD0" w:rsidRPr="009F6521" w:rsidP="009F6521" w14:paraId="3C1CCC96" w14:textId="77777777">
      <w:pPr>
        <w:pStyle w:val="BodyText"/>
        <w:spacing w:line="360" w:lineRule="auto"/>
        <w:jc w:val="both"/>
        <w:rPr>
          <w:sz w:val="24"/>
          <w:szCs w:val="24"/>
        </w:rPr>
      </w:pPr>
    </w:p>
    <w:p w:rsidR="00F74441" w:rsidRPr="009F6521" w:rsidP="009F6521" w14:paraId="0F32780D" w14:textId="76EF177F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9F6521">
        <w:rPr>
          <w:rStyle w:val="Strong"/>
          <w:bCs w:val="0"/>
          <w:color w:val="000000" w:themeColor="text1"/>
          <w:sz w:val="24"/>
          <w:szCs w:val="24"/>
        </w:rPr>
        <w:t>b) Conveniência e Oportunidade</w:t>
      </w:r>
    </w:p>
    <w:p w:rsidR="00E50A4C" w:rsidRPr="009F6521" w:rsidP="009F6521" w14:paraId="11EC82E8" w14:textId="03330814">
      <w:pPr>
        <w:pStyle w:val="NormalWeb"/>
        <w:spacing w:line="360" w:lineRule="auto"/>
        <w:jc w:val="both"/>
      </w:pPr>
      <w:r w:rsidRPr="009F6521">
        <w:t xml:space="preserve">A adesão apresenta </w:t>
      </w:r>
      <w:r w:rsidRPr="009F6521">
        <w:rPr>
          <w:rStyle w:val="Strong"/>
        </w:rPr>
        <w:t>vantagens operacionais</w:t>
      </w:r>
      <w:r w:rsidRPr="009F6521">
        <w:t xml:space="preserve"> e </w:t>
      </w:r>
      <w:r w:rsidRPr="009F6521">
        <w:rPr>
          <w:rStyle w:val="Strong"/>
        </w:rPr>
        <w:t>ganhos de eficiência</w:t>
      </w:r>
      <w:r w:rsidRPr="009F6521">
        <w:t xml:space="preserve">: possibilidade de </w:t>
      </w:r>
      <w:r w:rsidRPr="009F6521">
        <w:rPr>
          <w:rStyle w:val="Strong"/>
        </w:rPr>
        <w:t>contratação ágil de serviços</w:t>
      </w:r>
      <w:r w:rsidRPr="009F6521">
        <w:t xml:space="preserve"> via corpo de </w:t>
      </w:r>
      <w:r w:rsidRPr="009F6521">
        <w:rPr>
          <w:rStyle w:val="Strong"/>
        </w:rPr>
        <w:t>empresas credenciadas</w:t>
      </w:r>
      <w:r w:rsidRPr="009F6521">
        <w:t xml:space="preserve"> do consórcio; </w:t>
      </w:r>
      <w:r w:rsidRPr="009F6521">
        <w:rPr>
          <w:rStyle w:val="Strong"/>
        </w:rPr>
        <w:t>compartilhamento de custos</w:t>
      </w:r>
      <w:r w:rsidRPr="009F6521">
        <w:t xml:space="preserve">; e apoio à execução de </w:t>
      </w:r>
      <w:r w:rsidRPr="009F6521">
        <w:rPr>
          <w:rStyle w:val="Strong"/>
        </w:rPr>
        <w:t>zeladoria</w:t>
      </w:r>
      <w:r w:rsidRPr="009F6521">
        <w:t xml:space="preserve"> e </w:t>
      </w:r>
      <w:r w:rsidRPr="009F6521">
        <w:rPr>
          <w:rStyle w:val="Strong"/>
        </w:rPr>
        <w:t>iluminação pública</w:t>
      </w:r>
      <w:r w:rsidRPr="009F6521">
        <w:t xml:space="preserve">, áreas em que o Município reporta </w:t>
      </w:r>
      <w:r w:rsidRPr="009F6521">
        <w:rPr>
          <w:rStyle w:val="Strong"/>
        </w:rPr>
        <w:t>limitações técnicas e financeiras</w:t>
      </w:r>
      <w:r w:rsidRPr="009F6521">
        <w:t xml:space="preserve"> quando atua isoladamente. Esses pontos constam da </w:t>
      </w:r>
      <w:r w:rsidRPr="009F6521">
        <w:rPr>
          <w:rStyle w:val="Strong"/>
        </w:rPr>
        <w:t>Mensagem</w:t>
      </w:r>
      <w:r w:rsidRPr="009F6521">
        <w:t xml:space="preserve">, da </w:t>
      </w:r>
      <w:r w:rsidRPr="009F6521">
        <w:rPr>
          <w:rStyle w:val="Strong"/>
        </w:rPr>
        <w:t>justificativa técnica da SSM</w:t>
      </w:r>
      <w:r w:rsidRPr="009F6521">
        <w:t xml:space="preserve"> e da </w:t>
      </w:r>
      <w:r w:rsidRPr="009F6521">
        <w:rPr>
          <w:rStyle w:val="Strong"/>
        </w:rPr>
        <w:t>Ata</w:t>
      </w:r>
      <w:r w:rsidRPr="009F6521">
        <w:t xml:space="preserve"> das comissões.</w:t>
      </w:r>
    </w:p>
    <w:p w:rsidR="00CE23F2" w:rsidRPr="009F6521" w:rsidP="009F6521" w14:paraId="1AE6523C" w14:textId="0A577E3E">
      <w:pPr>
        <w:pStyle w:val="NormalWeb"/>
        <w:spacing w:line="360" w:lineRule="auto"/>
        <w:jc w:val="both"/>
      </w:pPr>
      <w:r>
        <w:t>A experiência de outros municípios demonstra que a gestão consorciada fortalece a eficiência administrativa e a economicidade.</w:t>
      </w:r>
      <w:r>
        <w:t xml:space="preserve"> </w:t>
      </w:r>
      <w:r w:rsidRPr="009F6521" w:rsidR="00E50A4C">
        <w:t xml:space="preserve">Dessa forma, </w:t>
      </w:r>
      <w:r w:rsidRPr="009F6521">
        <w:t xml:space="preserve">a proposta mostra-se </w:t>
      </w:r>
      <w:r w:rsidRPr="009F6521">
        <w:rPr>
          <w:rStyle w:val="Strong"/>
        </w:rPr>
        <w:t>oportuna</w:t>
      </w:r>
      <w:r w:rsidRPr="009F6521">
        <w:t xml:space="preserve"> para elevar a capacidade de entrega de serviços urbanos essenciais, com </w:t>
      </w:r>
      <w:r w:rsidRPr="009F6521">
        <w:rPr>
          <w:rStyle w:val="Strong"/>
        </w:rPr>
        <w:t>lastro orçamentário</w:t>
      </w:r>
      <w:r w:rsidRPr="009F6521">
        <w:t xml:space="preserve"> previsto no art. 3º do PL e reafirmado na Mensagem. </w:t>
      </w:r>
    </w:p>
    <w:p w:rsidR="00F74441" w:rsidRPr="009F6521" w:rsidP="009F6521" w14:paraId="68542A3A" w14:textId="10ED8B76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  <w:r w:rsidRPr="009F6521">
        <w:rPr>
          <w:rStyle w:val="Strong"/>
          <w:bCs w:val="0"/>
          <w:color w:val="000000" w:themeColor="text1"/>
        </w:rPr>
        <w:t>III - OFERECIMENTO DE SUBSTITUTIVO, EMENDAS OU SUBEMENDAS</w:t>
      </w:r>
    </w:p>
    <w:p w:rsidR="00751E00" w:rsidP="00751E00" w14:paraId="7B681F19" w14:textId="634FB080">
      <w:pPr>
        <w:pStyle w:val="NormalWeb"/>
        <w:spacing w:line="360" w:lineRule="auto"/>
        <w:jc w:val="both"/>
      </w:pPr>
      <w:r>
        <w:t>Após análise</w:t>
      </w:r>
      <w:r>
        <w:t xml:space="preserve"> da matéria e dos documentos apresentados, esta Relatoria conclui que o Projeto de Lei nº 111/2025 </w:t>
      </w:r>
      <w:r>
        <w:rPr>
          <w:rStyle w:val="Strong"/>
        </w:rPr>
        <w:t>não exige a apresentação de emendas</w:t>
      </w:r>
      <w:r>
        <w:t>.</w:t>
      </w:r>
    </w:p>
    <w:p w:rsidR="00751E00" w:rsidP="00751E00" w14:paraId="647DEAD4" w14:textId="77777777">
      <w:pPr>
        <w:pStyle w:val="NormalWeb"/>
        <w:spacing w:line="360" w:lineRule="auto"/>
        <w:jc w:val="both"/>
      </w:pPr>
      <w:r>
        <w:t>As cautelas levantadas pela Procuradoria Jurídica e discutidas em reunião de comissões — como a necessidade de justificar a complementaridade com o CEMMIL, de confirmar o custeio junto à Secretaria de Finanças e de planejar a utilização do consórcio — já foram devidamente registradas nos autos e podem ser tratadas pelo Executivo na fase de execução da lei.</w:t>
      </w:r>
    </w:p>
    <w:p w:rsidR="00751E00" w:rsidP="00751E00" w14:paraId="4DA6C4D2" w14:textId="77777777">
      <w:pPr>
        <w:pStyle w:val="NormalWeb"/>
        <w:spacing w:line="360" w:lineRule="auto"/>
        <w:jc w:val="both"/>
      </w:pPr>
      <w:r>
        <w:t xml:space="preserve">Dessa forma, entende-se que o texto original do projeto é </w:t>
      </w:r>
      <w:r>
        <w:rPr>
          <w:rStyle w:val="Strong"/>
        </w:rPr>
        <w:t>suficiente e adequado</w:t>
      </w:r>
      <w:r>
        <w:t>, não havendo necessidade de alterações legislativas.</w:t>
      </w:r>
    </w:p>
    <w:p w:rsidR="00751E00" w:rsidP="00751E00" w14:paraId="0FD87ABF" w14:textId="77777777">
      <w:pPr>
        <w:pStyle w:val="NormalWeb"/>
        <w:spacing w:line="360" w:lineRule="auto"/>
        <w:jc w:val="both"/>
      </w:pPr>
    </w:p>
    <w:p w:rsidR="00751E00" w:rsidP="00751E00" w14:paraId="7EE99D97" w14:textId="77777777">
      <w:pPr>
        <w:pStyle w:val="NormalWeb"/>
        <w:spacing w:line="360" w:lineRule="auto"/>
        <w:jc w:val="both"/>
      </w:pPr>
    </w:p>
    <w:p w:rsidR="00F74441" w:rsidRPr="009F6521" w:rsidP="00751E00" w14:paraId="0089363A" w14:textId="159B21B0">
      <w:pPr>
        <w:pStyle w:val="NormalWeb"/>
        <w:spacing w:line="360" w:lineRule="auto"/>
        <w:rPr>
          <w:rStyle w:val="Strong"/>
          <w:bCs w:val="0"/>
          <w:color w:val="000000" w:themeColor="text1"/>
        </w:rPr>
      </w:pPr>
      <w:r w:rsidRPr="009F6521">
        <w:rPr>
          <w:rStyle w:val="Strong"/>
          <w:bCs w:val="0"/>
          <w:color w:val="000000" w:themeColor="text1"/>
        </w:rPr>
        <w:t>IV - DECISÃO DA RELATORIA</w:t>
      </w:r>
    </w:p>
    <w:p w:rsidR="00343F03" w:rsidRPr="009F6521" w:rsidP="009F6521" w14:paraId="5D665660" w14:textId="57C9981E">
      <w:pPr>
        <w:spacing w:line="360" w:lineRule="auto"/>
        <w:jc w:val="both"/>
        <w:rPr>
          <w:sz w:val="24"/>
          <w:szCs w:val="24"/>
        </w:rPr>
      </w:pPr>
      <w:r w:rsidRPr="009F6521">
        <w:rPr>
          <w:sz w:val="24"/>
          <w:szCs w:val="24"/>
        </w:rPr>
        <w:t xml:space="preserve"> </w:t>
      </w:r>
      <w:r w:rsidRPr="009F6521" w:rsidR="00E50A4C">
        <w:rPr>
          <w:sz w:val="24"/>
          <w:szCs w:val="24"/>
        </w:rPr>
        <w:t xml:space="preserve">Pelas razões expostas, este Relator </w:t>
      </w:r>
      <w:r w:rsidRPr="009F6521" w:rsidR="00E50A4C">
        <w:rPr>
          <w:rStyle w:val="Strong"/>
          <w:sz w:val="24"/>
          <w:szCs w:val="24"/>
        </w:rPr>
        <w:t>opina pela ap</w:t>
      </w:r>
      <w:r w:rsidRPr="009F6521" w:rsidR="00CE23F2">
        <w:rPr>
          <w:rStyle w:val="Strong"/>
          <w:sz w:val="24"/>
          <w:szCs w:val="24"/>
        </w:rPr>
        <w:t>rovação do Projeto de Lei nº 111</w:t>
      </w:r>
      <w:r w:rsidRPr="009F6521" w:rsidR="00E50A4C">
        <w:rPr>
          <w:rStyle w:val="Strong"/>
          <w:sz w:val="24"/>
          <w:szCs w:val="24"/>
        </w:rPr>
        <w:t>/2025</w:t>
      </w:r>
      <w:r w:rsidRPr="009F6521" w:rsidR="00E50A4C">
        <w:rPr>
          <w:sz w:val="24"/>
          <w:szCs w:val="24"/>
        </w:rPr>
        <w:t xml:space="preserve">, por ser </w:t>
      </w:r>
      <w:r w:rsidRPr="009F6521" w:rsidR="00CE23F2">
        <w:rPr>
          <w:rStyle w:val="Strong"/>
          <w:sz w:val="24"/>
          <w:szCs w:val="24"/>
        </w:rPr>
        <w:t>legal, constitucional, conveniente e oportuna</w:t>
      </w:r>
      <w:r w:rsidRPr="009F6521" w:rsidR="00CE23F2">
        <w:rPr>
          <w:sz w:val="24"/>
          <w:szCs w:val="24"/>
        </w:rPr>
        <w:t xml:space="preserve"> a adesão do Município ao </w:t>
      </w:r>
      <w:r w:rsidRPr="009F6521" w:rsidR="00CE23F2">
        <w:rPr>
          <w:rStyle w:val="Strong"/>
          <w:sz w:val="24"/>
          <w:szCs w:val="24"/>
        </w:rPr>
        <w:t>CONDESU</w:t>
      </w:r>
      <w:r w:rsidRPr="009F6521" w:rsidR="00CE23F2">
        <w:rPr>
          <w:sz w:val="24"/>
          <w:szCs w:val="24"/>
        </w:rPr>
        <w:t>.</w:t>
      </w:r>
    </w:p>
    <w:p w:rsidR="00CE23F2" w:rsidRPr="009F6521" w:rsidP="009F6521" w14:paraId="3D26AC79" w14:textId="77777777">
      <w:pPr>
        <w:spacing w:line="360" w:lineRule="auto"/>
        <w:jc w:val="both"/>
        <w:rPr>
          <w:sz w:val="24"/>
          <w:szCs w:val="24"/>
        </w:rPr>
      </w:pPr>
    </w:p>
    <w:p w:rsidR="00F74441" w:rsidRPr="009F6521" w:rsidP="009F6521" w14:paraId="6AB168D8" w14:textId="289D6849">
      <w:pPr>
        <w:spacing w:line="360" w:lineRule="auto"/>
        <w:jc w:val="both"/>
        <w:rPr>
          <w:rStyle w:val="Strong"/>
          <w:color w:val="000000" w:themeColor="text1"/>
          <w:sz w:val="24"/>
          <w:szCs w:val="24"/>
        </w:rPr>
      </w:pPr>
      <w:r w:rsidRPr="009F6521">
        <w:rPr>
          <w:rStyle w:val="Strong"/>
          <w:color w:val="000000" w:themeColor="text1"/>
          <w:sz w:val="24"/>
          <w:szCs w:val="24"/>
        </w:rPr>
        <w:t>SALA DAS SESSÕES</w:t>
      </w:r>
      <w:r w:rsidRPr="009F6521" w:rsidR="00E50A4C">
        <w:rPr>
          <w:rStyle w:val="Strong"/>
          <w:color w:val="000000" w:themeColor="text1"/>
          <w:sz w:val="24"/>
          <w:szCs w:val="24"/>
        </w:rPr>
        <w:t xml:space="preserve"> “VEREADOR SANTO RÓTTOLI”, em 1</w:t>
      </w:r>
      <w:r w:rsidR="00542ABF">
        <w:rPr>
          <w:rStyle w:val="Strong"/>
          <w:color w:val="000000" w:themeColor="text1"/>
          <w:sz w:val="24"/>
          <w:szCs w:val="24"/>
        </w:rPr>
        <w:t>5</w:t>
      </w:r>
      <w:bookmarkStart w:id="0" w:name="_GoBack"/>
      <w:bookmarkEnd w:id="0"/>
      <w:r w:rsidRPr="009F6521">
        <w:rPr>
          <w:rStyle w:val="Strong"/>
          <w:color w:val="000000" w:themeColor="text1"/>
          <w:sz w:val="24"/>
          <w:szCs w:val="24"/>
        </w:rPr>
        <w:t xml:space="preserve"> de </w:t>
      </w:r>
      <w:r w:rsidRPr="009F6521" w:rsidR="005D038D">
        <w:rPr>
          <w:rStyle w:val="Strong"/>
          <w:color w:val="000000" w:themeColor="text1"/>
          <w:sz w:val="24"/>
          <w:szCs w:val="24"/>
        </w:rPr>
        <w:t>setembro</w:t>
      </w:r>
      <w:r w:rsidRPr="009F6521">
        <w:rPr>
          <w:rStyle w:val="Strong"/>
          <w:color w:val="000000" w:themeColor="text1"/>
          <w:sz w:val="24"/>
          <w:szCs w:val="24"/>
        </w:rPr>
        <w:t xml:space="preserve"> de 2025.</w:t>
      </w:r>
    </w:p>
    <w:p w:rsidR="00CB631F" w:rsidRPr="009F6521" w:rsidP="009F6521" w14:paraId="65D9E0C4" w14:textId="7777777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9F6521" w:rsidP="009F6521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9F6521">
        <w:rPr>
          <w:bCs/>
          <w:i/>
          <w:color w:val="000000" w:themeColor="text1"/>
          <w:sz w:val="24"/>
          <w:szCs w:val="24"/>
        </w:rPr>
        <w:t>(</w:t>
      </w:r>
      <w:r w:rsidRPr="009F6521">
        <w:rPr>
          <w:bCs/>
          <w:i/>
          <w:color w:val="000000" w:themeColor="text1"/>
          <w:sz w:val="24"/>
          <w:szCs w:val="24"/>
        </w:rPr>
        <w:t>assinado</w:t>
      </w:r>
      <w:r w:rsidRPr="009F6521">
        <w:rPr>
          <w:bCs/>
          <w:i/>
          <w:color w:val="000000" w:themeColor="text1"/>
          <w:sz w:val="24"/>
          <w:szCs w:val="24"/>
        </w:rPr>
        <w:t xml:space="preserve"> digitalmente)</w:t>
      </w:r>
    </w:p>
    <w:p w:rsidR="00F74441" w:rsidRPr="009F6521" w:rsidP="009F6521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9F6521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9F6521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9F6521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9F6521" w:rsidP="009F6521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9F6521">
        <w:rPr>
          <w:color w:val="000000" w:themeColor="text1"/>
          <w:sz w:val="24"/>
          <w:szCs w:val="24"/>
        </w:rPr>
        <w:t>Relator</w:t>
      </w:r>
    </w:p>
    <w:p w:rsidR="00CB631F" w:rsidRPr="009F6521" w:rsidP="009F6521" w14:paraId="4027A079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9F6521" w:rsidP="009F6521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9F6521" w:rsidP="009F6521" w14:paraId="010DA84F" w14:textId="77777777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9F6521">
        <w:rPr>
          <w:rStyle w:val="Strong"/>
          <w:b/>
          <w:bCs w:val="0"/>
          <w:color w:val="000000" w:themeColor="text1"/>
          <w:sz w:val="24"/>
          <w:szCs w:val="24"/>
        </w:rPr>
        <w:t>REFERÊNCIAS:</w:t>
      </w:r>
    </w:p>
    <w:p w:rsidR="00DA2C4C" w:rsidRPr="009F6521" w:rsidP="0062715A" w14:paraId="59FD35A2" w14:textId="3B685CD0">
      <w:pPr>
        <w:pStyle w:val="NormalWeb"/>
        <w:numPr>
          <w:ilvl w:val="0"/>
          <w:numId w:val="33"/>
        </w:numPr>
        <w:spacing w:line="360" w:lineRule="auto"/>
      </w:pPr>
      <w:r w:rsidRPr="009F6521">
        <w:rPr>
          <w:rStyle w:val="Strong"/>
        </w:rPr>
        <w:t>Constituição Federal de 1988</w:t>
      </w:r>
      <w:r w:rsidRPr="009F6521">
        <w:t xml:space="preserve"> – art. 30, incisos I e V; art. 37, caput; art. 241.</w:t>
      </w:r>
    </w:p>
    <w:p w:rsidR="00DA2C4C" w:rsidRPr="009F6521" w:rsidP="0062715A" w14:paraId="61FF6C41" w14:textId="319DC557">
      <w:pPr>
        <w:pStyle w:val="NormalWeb"/>
        <w:numPr>
          <w:ilvl w:val="0"/>
          <w:numId w:val="33"/>
        </w:numPr>
        <w:spacing w:line="360" w:lineRule="auto"/>
      </w:pPr>
      <w:r w:rsidRPr="009F6521">
        <w:rPr>
          <w:rStyle w:val="Strong"/>
        </w:rPr>
        <w:t>Lei Federal nº 11.107/2005</w:t>
      </w:r>
      <w:r w:rsidRPr="009F6521">
        <w:t xml:space="preserve"> – Dispõe sobre normas gerais de contratação de consórcios públicos.</w:t>
      </w:r>
    </w:p>
    <w:p w:rsidR="00DA2C4C" w:rsidRPr="009F6521" w:rsidP="0062715A" w14:paraId="1EE8E2BD" w14:textId="583994F7">
      <w:pPr>
        <w:pStyle w:val="NormalWeb"/>
        <w:numPr>
          <w:ilvl w:val="0"/>
          <w:numId w:val="33"/>
        </w:numPr>
        <w:spacing w:line="360" w:lineRule="auto"/>
      </w:pPr>
      <w:r w:rsidRPr="009F6521">
        <w:rPr>
          <w:rStyle w:val="Strong"/>
        </w:rPr>
        <w:t>Lei Orgânica do Município de Mogi Mirim</w:t>
      </w:r>
      <w:r w:rsidRPr="009F6521">
        <w:t xml:space="preserve"> – arts. 12, incisos I, IX e XII; art. 31, inciso XIV; art. 119.</w:t>
      </w:r>
    </w:p>
    <w:p w:rsidR="00DA2C4C" w:rsidRPr="009F6521" w:rsidP="0062715A" w14:paraId="674F406E" w14:textId="03C8193C">
      <w:pPr>
        <w:pStyle w:val="NormalWeb"/>
        <w:numPr>
          <w:ilvl w:val="0"/>
          <w:numId w:val="33"/>
        </w:numPr>
        <w:spacing w:line="360" w:lineRule="auto"/>
      </w:pPr>
      <w:r w:rsidRPr="009F6521">
        <w:rPr>
          <w:rStyle w:val="Strong"/>
        </w:rPr>
        <w:t>Regimento Interno da Câmara Municipal de Mogi Mirim</w:t>
      </w:r>
      <w:r w:rsidRPr="009F6521">
        <w:t xml:space="preserve"> – disposições sobre tramitação de projetos de lei autorizativos.</w:t>
      </w:r>
    </w:p>
    <w:p w:rsidR="00DA2C4C" w:rsidRPr="009F6521" w:rsidP="0062715A" w14:paraId="666798A5" w14:textId="13C9A7AF">
      <w:pPr>
        <w:pStyle w:val="NormalWeb"/>
        <w:numPr>
          <w:ilvl w:val="0"/>
          <w:numId w:val="33"/>
        </w:numPr>
        <w:spacing w:line="360" w:lineRule="auto"/>
      </w:pPr>
      <w:r w:rsidRPr="009F6521">
        <w:rPr>
          <w:rStyle w:val="Strong"/>
        </w:rPr>
        <w:t>Mensagem nº 038/2025</w:t>
      </w:r>
      <w:r w:rsidRPr="009F6521">
        <w:t xml:space="preserve"> encaminhada pelo Prefeito Municipal ao Projeto de Lei nº 111/2025</w:t>
      </w:r>
    </w:p>
    <w:p w:rsidR="00331AD2" w:rsidRPr="009F6521" w:rsidP="0062715A" w14:paraId="46FBC224" w14:textId="4A3CBF22">
      <w:pPr>
        <w:pStyle w:val="NormalWeb"/>
        <w:numPr>
          <w:ilvl w:val="0"/>
          <w:numId w:val="33"/>
        </w:numPr>
        <w:spacing w:before="0" w:beforeAutospacing="0" w:line="360" w:lineRule="auto"/>
        <w:jc w:val="both"/>
      </w:pPr>
      <w:r w:rsidRPr="009F6521">
        <w:rPr>
          <w:rStyle w:val="Strong"/>
        </w:rPr>
        <w:t>Projeto de Lei nº 111/2025</w:t>
      </w:r>
      <w:r w:rsidRPr="009F6521">
        <w:t xml:space="preserve"> – texto original e seus anexos</w:t>
      </w:r>
    </w:p>
    <w:p w:rsidR="00DA2C4C" w:rsidRPr="009F6521" w:rsidP="0062715A" w14:paraId="177D654E" w14:textId="3AB26FF9">
      <w:pPr>
        <w:pStyle w:val="NormalWeb"/>
        <w:numPr>
          <w:ilvl w:val="0"/>
          <w:numId w:val="33"/>
        </w:numPr>
        <w:spacing w:before="0" w:beforeAutospacing="0" w:line="360" w:lineRule="auto"/>
        <w:jc w:val="both"/>
      </w:pPr>
      <w:r w:rsidRPr="009F6521">
        <w:rPr>
          <w:rStyle w:val="Strong"/>
        </w:rPr>
        <w:t>Parecer da Consultoria Jurídica Externa – SGP</w:t>
      </w:r>
      <w:r w:rsidRPr="009F6521">
        <w:t xml:space="preserve"> sobre o Projeto de Lei nº 111/2025</w:t>
      </w:r>
    </w:p>
    <w:p w:rsidR="00DA2C4C" w:rsidRPr="009F6521" w:rsidP="0062715A" w14:paraId="6A7E8337" w14:textId="1AD42570">
      <w:pPr>
        <w:pStyle w:val="NormalWeb"/>
        <w:numPr>
          <w:ilvl w:val="0"/>
          <w:numId w:val="33"/>
        </w:numPr>
        <w:spacing w:before="0" w:beforeAutospacing="0" w:line="360" w:lineRule="auto"/>
        <w:jc w:val="both"/>
      </w:pPr>
      <w:r w:rsidRPr="009F6521">
        <w:t>Despachos nº 2009/2025 e nº 2042/2025 da Procuradoria Jurídica do Município</w:t>
      </w:r>
    </w:p>
    <w:p w:rsidR="00DA2C4C" w:rsidRPr="009F6521" w:rsidP="0062715A" w14:paraId="57AD0524" w14:textId="4057D48C">
      <w:pPr>
        <w:pStyle w:val="NormalWeb"/>
        <w:numPr>
          <w:ilvl w:val="0"/>
          <w:numId w:val="33"/>
        </w:numPr>
        <w:spacing w:before="0" w:beforeAutospacing="0" w:line="360" w:lineRule="auto"/>
        <w:jc w:val="both"/>
      </w:pPr>
      <w:r w:rsidRPr="009F6521">
        <w:t>Ata da 14ª Reunião Conjunta das Comissões – 03/09/2025</w:t>
      </w:r>
    </w:p>
    <w:p w:rsidR="00DA2C4C" w:rsidRPr="001968A0" w:rsidP="0062715A" w14:paraId="0481D8DA" w14:textId="667EF243">
      <w:pPr>
        <w:pStyle w:val="NormalWeb"/>
        <w:numPr>
          <w:ilvl w:val="0"/>
          <w:numId w:val="33"/>
        </w:numPr>
        <w:spacing w:before="0" w:beforeAutospacing="0" w:line="360" w:lineRule="auto"/>
        <w:jc w:val="both"/>
        <w:rPr>
          <w:color w:val="000000" w:themeColor="text1"/>
        </w:rPr>
      </w:pPr>
      <w:r w:rsidRPr="009F6521">
        <w:t>Comprovante de Inscrição no CNPJ do CONDESU – nº 11.166.922/0001-90</w:t>
      </w:r>
    </w:p>
    <w:p w:rsidR="001968A0" w:rsidP="001968A0" w14:paraId="50C5826C" w14:textId="77777777">
      <w:pPr>
        <w:pStyle w:val="NormalWeb"/>
        <w:spacing w:before="0" w:beforeAutospacing="0" w:line="360" w:lineRule="auto"/>
        <w:jc w:val="both"/>
      </w:pPr>
    </w:p>
    <w:p w:rsidR="00542ABF" w:rsidP="009F6521" w14:paraId="2C7B0E8A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9F6521" w:rsidP="009F6521" w14:paraId="106B8342" w14:textId="62BC865A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9F6521">
        <w:rPr>
          <w:b/>
          <w:color w:val="000000" w:themeColor="text1"/>
        </w:rPr>
        <w:t xml:space="preserve">PARECER FAVORÁVEL DA COMISSÃO DE JUSTIÇA E REDAÇÃO AO PROJETO DE LEI N° </w:t>
      </w:r>
      <w:r w:rsidRPr="009F6521" w:rsidR="004501C2">
        <w:rPr>
          <w:b/>
          <w:color w:val="000000" w:themeColor="text1"/>
        </w:rPr>
        <w:t>1</w:t>
      </w:r>
      <w:r w:rsidRPr="009F6521" w:rsidR="00E50A4C">
        <w:rPr>
          <w:b/>
          <w:color w:val="000000" w:themeColor="text1"/>
        </w:rPr>
        <w:t>20</w:t>
      </w:r>
      <w:r w:rsidRPr="009F6521">
        <w:rPr>
          <w:b/>
          <w:color w:val="000000" w:themeColor="text1"/>
        </w:rPr>
        <w:t xml:space="preserve"> DE 2025 DE AUTORIA D</w:t>
      </w:r>
      <w:r w:rsidRPr="009F6521" w:rsidR="00331AD2">
        <w:rPr>
          <w:b/>
          <w:color w:val="000000" w:themeColor="text1"/>
        </w:rPr>
        <w:t>O</w:t>
      </w:r>
      <w:r w:rsidRPr="009F6521">
        <w:rPr>
          <w:b/>
          <w:color w:val="000000" w:themeColor="text1"/>
        </w:rPr>
        <w:t xml:space="preserve"> </w:t>
      </w:r>
      <w:r w:rsidRPr="009F6521" w:rsidR="00E80928">
        <w:rPr>
          <w:b/>
          <w:color w:val="000000" w:themeColor="text1"/>
        </w:rPr>
        <w:t>PREFEITO MUNICIPAL DR. PAULO DE OLIVEIRA E SILVA</w:t>
      </w:r>
      <w:r w:rsidRPr="009F6521">
        <w:rPr>
          <w:b/>
          <w:color w:val="000000" w:themeColor="text1"/>
        </w:rPr>
        <w:t>.</w:t>
      </w:r>
    </w:p>
    <w:p w:rsidR="00CB631F" w:rsidRPr="009F6521" w:rsidP="009F6521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9F6521" w:rsidP="009F6521" w14:paraId="07973BF2" w14:textId="05661A4D">
      <w:pPr>
        <w:pStyle w:val="NormalWeb"/>
        <w:spacing w:line="360" w:lineRule="auto"/>
        <w:jc w:val="both"/>
      </w:pPr>
      <w:r w:rsidRPr="009F6521">
        <w:rPr>
          <w:color w:val="000000" w:themeColor="text1"/>
        </w:rPr>
        <w:tab/>
      </w:r>
      <w:r w:rsidRPr="009F6521" w:rsidR="00B30455">
        <w:rPr>
          <w:color w:val="000000" w:themeColor="text1"/>
        </w:rPr>
        <w:t>N</w:t>
      </w:r>
      <w:r w:rsidRPr="009F6521" w:rsidR="005D038D">
        <w:t>os termos do</w:t>
      </w:r>
      <w:r w:rsidRPr="009F6521">
        <w:t xml:space="preserve"> artigo 35 da Resolução nº 276, de 09 de novembro de 2010, e </w:t>
      </w:r>
      <w:r w:rsidRPr="009F6521" w:rsidR="00B30455">
        <w:t xml:space="preserve">acompanhando o voto do Relator, </w:t>
      </w:r>
      <w:r w:rsidRPr="009F6521">
        <w:rPr>
          <w:bCs/>
        </w:rPr>
        <w:t>manifestam-se pela legalidade, constitucionalidade, e mérito d</w:t>
      </w:r>
      <w:r w:rsidRPr="009F6521" w:rsidR="00B30455">
        <w:rPr>
          <w:bCs/>
        </w:rPr>
        <w:t xml:space="preserve">o </w:t>
      </w:r>
      <w:r w:rsidRPr="009F6521" w:rsidR="00E80928">
        <w:rPr>
          <w:b/>
          <w:bCs/>
        </w:rPr>
        <w:t>Projeto de Lei nº 120</w:t>
      </w:r>
      <w:r w:rsidRPr="009F6521" w:rsidR="00B30455">
        <w:rPr>
          <w:b/>
          <w:bCs/>
        </w:rPr>
        <w:t xml:space="preserve"> de 2025</w:t>
      </w:r>
      <w:r w:rsidRPr="009F6521" w:rsidR="00B30455">
        <w:rPr>
          <w:bCs/>
        </w:rPr>
        <w:t xml:space="preserve">, recomendando-se sua </w:t>
      </w:r>
      <w:r w:rsidRPr="009F6521">
        <w:rPr>
          <w:bCs/>
        </w:rPr>
        <w:t>aprovação</w:t>
      </w:r>
      <w:r w:rsidRPr="009F6521" w:rsidR="00B30455">
        <w:rPr>
          <w:bCs/>
        </w:rPr>
        <w:t>.</w:t>
      </w:r>
    </w:p>
    <w:p w:rsidR="00CB631F" w:rsidRPr="009F6521" w:rsidP="009F6521" w14:paraId="4FE36989" w14:textId="25963361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9F6521">
        <w:rPr>
          <w:sz w:val="24"/>
          <w:szCs w:val="24"/>
        </w:rPr>
        <w:t>Sala das Comissões, em 11</w:t>
      </w:r>
      <w:r w:rsidRPr="009F6521">
        <w:rPr>
          <w:sz w:val="24"/>
          <w:szCs w:val="24"/>
        </w:rPr>
        <w:t xml:space="preserve"> de </w:t>
      </w:r>
      <w:r w:rsidRPr="009F6521" w:rsidR="005D038D">
        <w:rPr>
          <w:sz w:val="24"/>
          <w:szCs w:val="24"/>
        </w:rPr>
        <w:t>setembro</w:t>
      </w:r>
      <w:r w:rsidRPr="009F6521">
        <w:rPr>
          <w:sz w:val="24"/>
          <w:szCs w:val="24"/>
        </w:rPr>
        <w:t xml:space="preserve"> de 2025.</w:t>
      </w:r>
    </w:p>
    <w:p w:rsidR="00CB631F" w:rsidRPr="009F6521" w:rsidP="009F6521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9F6521" w:rsidP="009F6521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9F6521" w:rsidP="009F6521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F6521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9F6521" w:rsidP="009F6521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F6521" w:rsidP="009F6521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F6521" w:rsidP="009F6521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F6521" w:rsidP="009F6521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F6521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9F6521" w:rsidP="009F6521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F6521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9F6521" w:rsidP="009F6521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F6521" w:rsidP="009F6521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F6521" w:rsidP="009F6521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F6521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9F6521" w:rsidP="009F6521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F6521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9F6521" w:rsidP="009F6521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F6521" w:rsidP="009F6521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9F6521" w:rsidP="009F6521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F6521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9F6521" w:rsidP="009F6521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9F6521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9F6521" w:rsidP="009F6521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F3D6F"/>
    <w:multiLevelType w:val="multilevel"/>
    <w:tmpl w:val="FF4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D5703"/>
    <w:multiLevelType w:val="hybridMultilevel"/>
    <w:tmpl w:val="6C6867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A428C"/>
    <w:multiLevelType w:val="multilevel"/>
    <w:tmpl w:val="7176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3577B"/>
    <w:multiLevelType w:val="multilevel"/>
    <w:tmpl w:val="AA2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957AD4"/>
    <w:multiLevelType w:val="hybridMultilevel"/>
    <w:tmpl w:val="F97E12FE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A2843"/>
    <w:multiLevelType w:val="multilevel"/>
    <w:tmpl w:val="85A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B0882"/>
    <w:multiLevelType w:val="hybridMultilevel"/>
    <w:tmpl w:val="24424AF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E2A26"/>
    <w:multiLevelType w:val="multilevel"/>
    <w:tmpl w:val="70B0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6F6CF8"/>
    <w:multiLevelType w:val="multilevel"/>
    <w:tmpl w:val="4A22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755D2D"/>
    <w:multiLevelType w:val="hybridMultilevel"/>
    <w:tmpl w:val="2C2E2DEE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344B5BF3"/>
    <w:multiLevelType w:val="multilevel"/>
    <w:tmpl w:val="9648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A87A5A"/>
    <w:multiLevelType w:val="multilevel"/>
    <w:tmpl w:val="3E1A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EC0F0F"/>
    <w:multiLevelType w:val="hybridMultilevel"/>
    <w:tmpl w:val="6B947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3D62F6"/>
    <w:multiLevelType w:val="multilevel"/>
    <w:tmpl w:val="8A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076C7C"/>
    <w:multiLevelType w:val="multilevel"/>
    <w:tmpl w:val="21E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A52A09"/>
    <w:multiLevelType w:val="multilevel"/>
    <w:tmpl w:val="AAA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8509C8"/>
    <w:multiLevelType w:val="hybridMultilevel"/>
    <w:tmpl w:val="E48C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F87321"/>
    <w:multiLevelType w:val="multilevel"/>
    <w:tmpl w:val="2B3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15"/>
  </w:num>
  <w:num w:numId="5">
    <w:abstractNumId w:val="29"/>
  </w:num>
  <w:num w:numId="6">
    <w:abstractNumId w:val="31"/>
  </w:num>
  <w:num w:numId="7">
    <w:abstractNumId w:val="8"/>
  </w:num>
  <w:num w:numId="8">
    <w:abstractNumId w:val="18"/>
  </w:num>
  <w:num w:numId="9">
    <w:abstractNumId w:val="14"/>
  </w:num>
  <w:num w:numId="10">
    <w:abstractNumId w:val="13"/>
  </w:num>
  <w:num w:numId="11">
    <w:abstractNumId w:val="11"/>
  </w:num>
  <w:num w:numId="12">
    <w:abstractNumId w:val="25"/>
  </w:num>
  <w:num w:numId="13">
    <w:abstractNumId w:val="1"/>
  </w:num>
  <w:num w:numId="14">
    <w:abstractNumId w:val="7"/>
  </w:num>
  <w:num w:numId="15">
    <w:abstractNumId w:val="22"/>
  </w:num>
  <w:num w:numId="16">
    <w:abstractNumId w:val="20"/>
  </w:num>
  <w:num w:numId="17">
    <w:abstractNumId w:val="0"/>
  </w:num>
  <w:num w:numId="18">
    <w:abstractNumId w:val="9"/>
  </w:num>
  <w:num w:numId="19">
    <w:abstractNumId w:val="16"/>
  </w:num>
  <w:num w:numId="20">
    <w:abstractNumId w:val="26"/>
  </w:num>
  <w:num w:numId="21">
    <w:abstractNumId w:val="23"/>
  </w:num>
  <w:num w:numId="22">
    <w:abstractNumId w:val="30"/>
  </w:num>
  <w:num w:numId="23">
    <w:abstractNumId w:val="4"/>
  </w:num>
  <w:num w:numId="24">
    <w:abstractNumId w:val="21"/>
  </w:num>
  <w:num w:numId="25">
    <w:abstractNumId w:val="28"/>
  </w:num>
  <w:num w:numId="26">
    <w:abstractNumId w:val="32"/>
  </w:num>
  <w:num w:numId="27">
    <w:abstractNumId w:val="10"/>
  </w:num>
  <w:num w:numId="28">
    <w:abstractNumId w:val="6"/>
  </w:num>
  <w:num w:numId="29">
    <w:abstractNumId w:val="2"/>
  </w:num>
  <w:num w:numId="30">
    <w:abstractNumId w:val="27"/>
  </w:num>
  <w:num w:numId="31">
    <w:abstractNumId w:val="3"/>
  </w:num>
  <w:num w:numId="32">
    <w:abstractNumId w:val="1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31BA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968A0"/>
    <w:rsid w:val="001A3CE4"/>
    <w:rsid w:val="001B7303"/>
    <w:rsid w:val="001D0C97"/>
    <w:rsid w:val="001F3DD4"/>
    <w:rsid w:val="0020165D"/>
    <w:rsid w:val="00213987"/>
    <w:rsid w:val="00224A76"/>
    <w:rsid w:val="002268B2"/>
    <w:rsid w:val="00227E2C"/>
    <w:rsid w:val="00234376"/>
    <w:rsid w:val="0025389A"/>
    <w:rsid w:val="00297379"/>
    <w:rsid w:val="002A2BD3"/>
    <w:rsid w:val="002B71AC"/>
    <w:rsid w:val="002D2BFA"/>
    <w:rsid w:val="002F28DF"/>
    <w:rsid w:val="002F3FFA"/>
    <w:rsid w:val="003121C8"/>
    <w:rsid w:val="00314B47"/>
    <w:rsid w:val="00322469"/>
    <w:rsid w:val="00331AD2"/>
    <w:rsid w:val="00343F03"/>
    <w:rsid w:val="00371010"/>
    <w:rsid w:val="00371A69"/>
    <w:rsid w:val="0038129E"/>
    <w:rsid w:val="00381C00"/>
    <w:rsid w:val="00387530"/>
    <w:rsid w:val="003A5737"/>
    <w:rsid w:val="003A796B"/>
    <w:rsid w:val="003B1A59"/>
    <w:rsid w:val="003D6D21"/>
    <w:rsid w:val="003F0B47"/>
    <w:rsid w:val="0040419D"/>
    <w:rsid w:val="00405098"/>
    <w:rsid w:val="00411661"/>
    <w:rsid w:val="004132A5"/>
    <w:rsid w:val="00431D6B"/>
    <w:rsid w:val="00446FA1"/>
    <w:rsid w:val="004501C2"/>
    <w:rsid w:val="00456770"/>
    <w:rsid w:val="00477C67"/>
    <w:rsid w:val="004B6FDF"/>
    <w:rsid w:val="004D46DA"/>
    <w:rsid w:val="004E3A21"/>
    <w:rsid w:val="004E6092"/>
    <w:rsid w:val="00517CEC"/>
    <w:rsid w:val="005242B1"/>
    <w:rsid w:val="00542ABF"/>
    <w:rsid w:val="005559D9"/>
    <w:rsid w:val="0057515A"/>
    <w:rsid w:val="005A235E"/>
    <w:rsid w:val="005B766F"/>
    <w:rsid w:val="005D038D"/>
    <w:rsid w:val="005E491E"/>
    <w:rsid w:val="005F2654"/>
    <w:rsid w:val="005F4E55"/>
    <w:rsid w:val="005F54DA"/>
    <w:rsid w:val="0060437A"/>
    <w:rsid w:val="00613747"/>
    <w:rsid w:val="0062715A"/>
    <w:rsid w:val="00631FD1"/>
    <w:rsid w:val="00650AC3"/>
    <w:rsid w:val="006606C0"/>
    <w:rsid w:val="006834FE"/>
    <w:rsid w:val="00697874"/>
    <w:rsid w:val="006A54A9"/>
    <w:rsid w:val="006D3DCC"/>
    <w:rsid w:val="006E3F48"/>
    <w:rsid w:val="006F3969"/>
    <w:rsid w:val="007038AD"/>
    <w:rsid w:val="00715D41"/>
    <w:rsid w:val="00746F08"/>
    <w:rsid w:val="00751E00"/>
    <w:rsid w:val="007556D8"/>
    <w:rsid w:val="0078178E"/>
    <w:rsid w:val="00784CD4"/>
    <w:rsid w:val="00785E1B"/>
    <w:rsid w:val="007A08D1"/>
    <w:rsid w:val="007F6796"/>
    <w:rsid w:val="00823B6F"/>
    <w:rsid w:val="008301A6"/>
    <w:rsid w:val="00842408"/>
    <w:rsid w:val="00855DD2"/>
    <w:rsid w:val="00864928"/>
    <w:rsid w:val="00867454"/>
    <w:rsid w:val="00881E60"/>
    <w:rsid w:val="008905C2"/>
    <w:rsid w:val="008A1839"/>
    <w:rsid w:val="008A537A"/>
    <w:rsid w:val="008C08C5"/>
    <w:rsid w:val="008C1B0C"/>
    <w:rsid w:val="008C43E9"/>
    <w:rsid w:val="008C4AA2"/>
    <w:rsid w:val="008F7930"/>
    <w:rsid w:val="00902EE1"/>
    <w:rsid w:val="00904ADF"/>
    <w:rsid w:val="009064E3"/>
    <w:rsid w:val="00914ADC"/>
    <w:rsid w:val="00920A3F"/>
    <w:rsid w:val="00925E1A"/>
    <w:rsid w:val="0095508D"/>
    <w:rsid w:val="009D6B7C"/>
    <w:rsid w:val="009E2F80"/>
    <w:rsid w:val="009E4C09"/>
    <w:rsid w:val="009F6521"/>
    <w:rsid w:val="00A00E3E"/>
    <w:rsid w:val="00A12DD9"/>
    <w:rsid w:val="00A155B7"/>
    <w:rsid w:val="00A164DC"/>
    <w:rsid w:val="00A27446"/>
    <w:rsid w:val="00A617F8"/>
    <w:rsid w:val="00A672C0"/>
    <w:rsid w:val="00A913CE"/>
    <w:rsid w:val="00AA0204"/>
    <w:rsid w:val="00AC3EEE"/>
    <w:rsid w:val="00AD2770"/>
    <w:rsid w:val="00AE5858"/>
    <w:rsid w:val="00AF0C05"/>
    <w:rsid w:val="00AF3296"/>
    <w:rsid w:val="00AF4AC7"/>
    <w:rsid w:val="00B00B0F"/>
    <w:rsid w:val="00B1430A"/>
    <w:rsid w:val="00B147B5"/>
    <w:rsid w:val="00B30455"/>
    <w:rsid w:val="00B57090"/>
    <w:rsid w:val="00B571F3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631F"/>
    <w:rsid w:val="00CC094F"/>
    <w:rsid w:val="00CC1320"/>
    <w:rsid w:val="00CC3E72"/>
    <w:rsid w:val="00CE23F2"/>
    <w:rsid w:val="00CF288D"/>
    <w:rsid w:val="00D03E9F"/>
    <w:rsid w:val="00D06CA3"/>
    <w:rsid w:val="00D07452"/>
    <w:rsid w:val="00D233F3"/>
    <w:rsid w:val="00D33D19"/>
    <w:rsid w:val="00D52DAE"/>
    <w:rsid w:val="00D543E6"/>
    <w:rsid w:val="00D635A7"/>
    <w:rsid w:val="00D66197"/>
    <w:rsid w:val="00D70FD5"/>
    <w:rsid w:val="00D72B9D"/>
    <w:rsid w:val="00D735E2"/>
    <w:rsid w:val="00D744D6"/>
    <w:rsid w:val="00D80A2E"/>
    <w:rsid w:val="00D81BDB"/>
    <w:rsid w:val="00D91F1F"/>
    <w:rsid w:val="00D9258F"/>
    <w:rsid w:val="00DA2C4C"/>
    <w:rsid w:val="00DA7AB4"/>
    <w:rsid w:val="00DE2A9A"/>
    <w:rsid w:val="00DE6B87"/>
    <w:rsid w:val="00DF605F"/>
    <w:rsid w:val="00E11ECC"/>
    <w:rsid w:val="00E14569"/>
    <w:rsid w:val="00E3543A"/>
    <w:rsid w:val="00E45995"/>
    <w:rsid w:val="00E50A4C"/>
    <w:rsid w:val="00E57668"/>
    <w:rsid w:val="00E73852"/>
    <w:rsid w:val="00E7438B"/>
    <w:rsid w:val="00E80928"/>
    <w:rsid w:val="00EA0447"/>
    <w:rsid w:val="00EA375D"/>
    <w:rsid w:val="00EA3CD8"/>
    <w:rsid w:val="00EB1570"/>
    <w:rsid w:val="00EB3C9A"/>
    <w:rsid w:val="00EC5677"/>
    <w:rsid w:val="00ED7D93"/>
    <w:rsid w:val="00EE457C"/>
    <w:rsid w:val="00EF4DE4"/>
    <w:rsid w:val="00EF6129"/>
    <w:rsid w:val="00EF630E"/>
    <w:rsid w:val="00F10F57"/>
    <w:rsid w:val="00F1771D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2327"/>
    <w:rsid w:val="00FC512A"/>
    <w:rsid w:val="00FC6FD0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2025-09-15T20:52:00Z</dcterms:created>
  <dcterms:modified xsi:type="dcterms:W3CDTF">2025-09-15T20:52:00Z</dcterms:modified>
</cp:coreProperties>
</file>