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1F6240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Conforme determina o </w:t>
      </w:r>
      <w:r w:rsidRPr="001F6240" w:rsidR="00D510D8">
        <w:rPr>
          <w:rFonts w:asciiTheme="minorHAnsi" w:hAnsiTheme="minorHAnsi" w:cstheme="minorHAnsi"/>
          <w:sz w:val="24"/>
          <w:szCs w:val="24"/>
        </w:rPr>
        <w:t>artigo 39</w:t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 do Regimento Interno </w:t>
      </w:r>
      <w:r w:rsidRPr="001F6240" w:rsidR="00D510D8">
        <w:rPr>
          <w:rFonts w:asciiTheme="minorHAnsi" w:hAnsiTheme="minorHAnsi" w:cstheme="minorHAnsi"/>
          <w:sz w:val="24"/>
          <w:szCs w:val="24"/>
        </w:rPr>
        <w:t xml:space="preserve">Vigente a </w:t>
      </w:r>
      <w:r w:rsidRPr="001F6240" w:rsidR="00D510D8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1F6240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Pr="001F6240" w:rsidR="008649A4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1F6240" w:rsidR="00D510D8">
        <w:rPr>
          <w:rFonts w:asciiTheme="minorHAnsi" w:hAnsiTheme="minorHAnsi" w:cstheme="minorHAnsi"/>
          <w:bCs/>
          <w:sz w:val="24"/>
          <w:szCs w:val="24"/>
        </w:rPr>
        <w:t>a</w:t>
      </w:r>
      <w:r w:rsidRPr="001F6240" w:rsidR="00D510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F6240" w:rsidR="00D510D8">
        <w:rPr>
          <w:rFonts w:asciiTheme="minorHAnsi" w:hAnsiTheme="minorHAnsi" w:cstheme="minorHAnsi"/>
          <w:sz w:val="24"/>
          <w:szCs w:val="24"/>
        </w:rPr>
        <w:t>nobre</w:t>
      </w:r>
      <w:r w:rsidRPr="001F6240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Pr="001F6240" w:rsidR="00CC422D">
        <w:rPr>
          <w:rFonts w:asciiTheme="minorHAnsi" w:hAnsiTheme="minorHAnsi" w:cstheme="minorHAnsi"/>
          <w:sz w:val="24"/>
          <w:szCs w:val="24"/>
        </w:rPr>
        <w:t>Lei</w:t>
      </w:r>
      <w:r w:rsidRPr="001F6240" w:rsidR="003C0C62">
        <w:rPr>
          <w:rFonts w:asciiTheme="minorHAnsi" w:hAnsiTheme="minorHAnsi" w:cstheme="minorHAnsi"/>
          <w:sz w:val="24"/>
          <w:szCs w:val="24"/>
        </w:rPr>
        <w:t xml:space="preserve"> nº </w:t>
      </w:r>
      <w:r w:rsidRPr="001F6240" w:rsidR="007A7A7E">
        <w:rPr>
          <w:rFonts w:asciiTheme="minorHAnsi" w:hAnsiTheme="minorHAnsi" w:cstheme="minorHAnsi"/>
          <w:sz w:val="24"/>
          <w:szCs w:val="24"/>
        </w:rPr>
        <w:t>31</w:t>
      </w:r>
      <w:r w:rsidRPr="001F6240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1F6240">
        <w:rPr>
          <w:rFonts w:asciiTheme="minorHAnsi" w:hAnsiTheme="minorHAnsi" w:cstheme="minorHAnsi"/>
          <w:sz w:val="24"/>
          <w:szCs w:val="24"/>
        </w:rPr>
        <w:t>,</w:t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1F6240" w:rsidR="008B7EE7">
        <w:rPr>
          <w:rFonts w:asciiTheme="minorHAnsi" w:hAnsiTheme="minorHAnsi" w:cstheme="minorHAnsi"/>
          <w:sz w:val="24"/>
          <w:szCs w:val="24"/>
        </w:rPr>
        <w:t>o</w:t>
      </w:r>
      <w:r w:rsidRPr="001F6240" w:rsidR="00A0370B">
        <w:rPr>
          <w:rFonts w:asciiTheme="minorHAnsi" w:hAnsiTheme="minorHAnsi" w:cstheme="minorHAnsi"/>
          <w:sz w:val="24"/>
          <w:szCs w:val="24"/>
        </w:rPr>
        <w:t xml:space="preserve"> </w:t>
      </w:r>
      <w:r w:rsidRPr="001F6240" w:rsidR="00D510D8">
        <w:rPr>
          <w:rFonts w:asciiTheme="minorHAnsi" w:hAnsiTheme="minorHAnsi" w:cstheme="minorHAnsi"/>
          <w:sz w:val="24"/>
          <w:szCs w:val="24"/>
        </w:rPr>
        <w:t>Vereador</w:t>
      </w:r>
      <w:r w:rsidRPr="001F6240" w:rsidR="007A7A7E">
        <w:rPr>
          <w:rFonts w:asciiTheme="minorHAnsi" w:hAnsiTheme="minorHAnsi" w:cstheme="minorHAnsi"/>
          <w:sz w:val="24"/>
          <w:szCs w:val="24"/>
        </w:rPr>
        <w:t xml:space="preserve"> Everton Bombarda</w:t>
      </w:r>
      <w:r w:rsidRPr="001F6240" w:rsidR="00A0370B">
        <w:rPr>
          <w:rFonts w:asciiTheme="minorHAnsi" w:hAnsiTheme="minorHAnsi" w:cstheme="minorHAnsi"/>
          <w:sz w:val="24"/>
          <w:szCs w:val="24"/>
        </w:rPr>
        <w:t>,</w:t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</w:t>
      </w:r>
      <w:r w:rsidRPr="001F6240" w:rsidR="00DE256D">
        <w:rPr>
          <w:rFonts w:asciiTheme="minorHAnsi" w:hAnsiTheme="minorHAnsi" w:cstheme="minorHAnsi"/>
          <w:sz w:val="24"/>
          <w:szCs w:val="24"/>
        </w:rPr>
        <w:t>Vereador Wilians</w:t>
      </w:r>
      <w:r w:rsidRPr="001F6240" w:rsidR="008B7EE7">
        <w:rPr>
          <w:rFonts w:asciiTheme="minorHAnsi" w:hAnsiTheme="minorHAnsi" w:cstheme="minorHAnsi"/>
          <w:sz w:val="24"/>
          <w:szCs w:val="24"/>
        </w:rPr>
        <w:t xml:space="preserve"> Mendes de Oliveira</w:t>
      </w:r>
      <w:r w:rsidRPr="001F6240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1F6240">
      <w:pPr>
        <w:jc w:val="both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sz w:val="24"/>
          <w:szCs w:val="24"/>
        </w:rPr>
        <w:tab/>
      </w:r>
    </w:p>
    <w:p w:rsidR="00F77D8F" w:rsidRPr="001F6240" w:rsidP="000D3816">
      <w:pPr>
        <w:jc w:val="both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A0370B" w:rsidRPr="001F6240" w:rsidP="009A5702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1F6240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1F6240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1F6240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1F6240" w:rsidR="007A7A7E">
        <w:rPr>
          <w:rFonts w:asciiTheme="minorHAnsi" w:hAnsiTheme="minorHAnsi" w:cstheme="minorHAnsi"/>
          <w:sz w:val="24"/>
          <w:szCs w:val="24"/>
        </w:rPr>
        <w:t>Projeto de Lei nº 31</w:t>
      </w:r>
      <w:r w:rsidRPr="001F6240" w:rsidR="0030304B">
        <w:rPr>
          <w:rFonts w:asciiTheme="minorHAnsi" w:hAnsiTheme="minorHAnsi" w:cstheme="minorHAnsi"/>
          <w:sz w:val="24"/>
          <w:szCs w:val="24"/>
        </w:rPr>
        <w:t>/</w:t>
      </w:r>
      <w:r w:rsidRPr="001F6240" w:rsidR="008D1416">
        <w:rPr>
          <w:rFonts w:asciiTheme="minorHAnsi" w:hAnsiTheme="minorHAnsi" w:cstheme="minorHAnsi"/>
          <w:sz w:val="24"/>
          <w:szCs w:val="24"/>
        </w:rPr>
        <w:t>2025, de autoria do Vereador</w:t>
      </w:r>
      <w:r w:rsidRPr="001F6240" w:rsidR="007A7A7E">
        <w:rPr>
          <w:rFonts w:asciiTheme="minorHAnsi" w:hAnsiTheme="minorHAnsi" w:cstheme="minorHAnsi"/>
          <w:sz w:val="24"/>
          <w:szCs w:val="24"/>
        </w:rPr>
        <w:t xml:space="preserve"> Everton Bombarda</w:t>
      </w:r>
      <w:r w:rsidRPr="001F6240" w:rsidR="00D730CA">
        <w:rPr>
          <w:rFonts w:asciiTheme="minorHAnsi" w:hAnsiTheme="minorHAnsi" w:cstheme="minorHAnsi"/>
          <w:sz w:val="24"/>
          <w:szCs w:val="24"/>
        </w:rPr>
        <w:t>, que</w:t>
      </w:r>
      <w:r w:rsidRPr="001F6240" w:rsidR="007A7A7E">
        <w:rPr>
          <w:rFonts w:asciiTheme="minorHAnsi" w:hAnsiTheme="minorHAnsi" w:cstheme="minorHAnsi"/>
          <w:b/>
          <w:sz w:val="24"/>
          <w:szCs w:val="24"/>
        </w:rPr>
        <w:t xml:space="preserve"> "Dispõe sobre a criação do programa municipal de atividades físicas e esportivas para </w:t>
      </w:r>
      <w:r w:rsidRPr="001F6240" w:rsidR="00075B01">
        <w:rPr>
          <w:rFonts w:asciiTheme="minorHAnsi" w:hAnsiTheme="minorHAnsi" w:cstheme="minorHAnsi"/>
          <w:b/>
          <w:sz w:val="24"/>
          <w:szCs w:val="24"/>
        </w:rPr>
        <w:t>idosos,</w:t>
      </w:r>
      <w:r w:rsidRPr="001F6240">
        <w:rPr>
          <w:rFonts w:asciiTheme="minorHAnsi" w:hAnsiTheme="minorHAnsi" w:cstheme="minorHAnsi"/>
          <w:b/>
          <w:sz w:val="24"/>
          <w:szCs w:val="24"/>
        </w:rPr>
        <w:t xml:space="preserve"> e dá outras providências".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O objetivo primordial do programa é promover a saúde e o bem-estar físico da população com idade igual ou superior a 60 anos.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O Projeto de Lei detalha as diretrizes para a implementação do programa, incluindo: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Criação e manutenção de academias ao ar livre em espaços públicos, equipadas com aparelhos apropriados para o público idoso.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Disponibilização de profissionais capacitados (educadores físicos, fisioterapeutas, etc.) para orientação e acompanhamento.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Promoção de atividades físicas e esportivas de baixo impacto, como caminhadas, ginástica funcional e alongamento.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Realização de campanhas educativas sobre os benefícios da atividade física na terceira idade.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Diretrizes para a localização, acessibilidade, segurança e manutenção dos espaços e equipamentos.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Previsão de avaliações físicas e acompanhamento individualizado dos participantes.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Possibilidade de cooperação com instituições privadas, ONGs e parcerias com universidades e centros de pesquisa.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 xml:space="preserve">Para a instrução deste parecer, foram analisados o </w:t>
      </w:r>
      <w:r w:rsidRPr="00075B01">
        <w:rPr>
          <w:rFonts w:asciiTheme="minorHAnsi" w:hAnsiTheme="minorHAnsi" w:cstheme="minorHAnsi"/>
          <w:b/>
          <w:sz w:val="24"/>
          <w:szCs w:val="24"/>
        </w:rPr>
        <w:t>Projeto de Lei nº 31/2025</w:t>
      </w:r>
      <w:r w:rsidRPr="00075B01">
        <w:rPr>
          <w:rFonts w:asciiTheme="minorHAnsi" w:hAnsiTheme="minorHAnsi" w:cstheme="minorHAnsi"/>
          <w:sz w:val="24"/>
          <w:szCs w:val="24"/>
        </w:rPr>
        <w:t xml:space="preserve"> (fls. 1-3), o </w:t>
      </w:r>
      <w:r w:rsidRPr="001F6240">
        <w:rPr>
          <w:rFonts w:asciiTheme="minorHAnsi" w:hAnsiTheme="minorHAnsi" w:cstheme="minorHAnsi"/>
          <w:sz w:val="24"/>
          <w:szCs w:val="24"/>
        </w:rPr>
        <w:t xml:space="preserve">     </w:t>
      </w:r>
      <w:r w:rsidRPr="00075B01">
        <w:rPr>
          <w:rFonts w:asciiTheme="minorHAnsi" w:hAnsiTheme="minorHAnsi" w:cstheme="minorHAnsi"/>
          <w:b/>
          <w:sz w:val="24"/>
          <w:szCs w:val="24"/>
        </w:rPr>
        <w:t>Parecer Jurídico da SGP (Consulta/0195/2025/JG/G, fls. 2-6)</w:t>
      </w:r>
      <w:r w:rsidRPr="00075B01">
        <w:rPr>
          <w:rFonts w:asciiTheme="minorHAnsi" w:hAnsiTheme="minorHAnsi" w:cstheme="minorHAnsi"/>
          <w:sz w:val="24"/>
          <w:szCs w:val="24"/>
        </w:rPr>
        <w:t xml:space="preserve">, a </w:t>
      </w:r>
      <w:r w:rsidRPr="00075B01">
        <w:rPr>
          <w:rFonts w:asciiTheme="minorHAnsi" w:hAnsiTheme="minorHAnsi" w:cstheme="minorHAnsi"/>
          <w:b/>
          <w:sz w:val="24"/>
          <w:szCs w:val="24"/>
        </w:rPr>
        <w:t>Emenda nº 1</w:t>
      </w:r>
      <w:r w:rsidRPr="00075B01">
        <w:rPr>
          <w:rFonts w:asciiTheme="minorHAnsi" w:hAnsiTheme="minorHAnsi" w:cstheme="minorHAnsi"/>
          <w:sz w:val="24"/>
          <w:szCs w:val="24"/>
        </w:rPr>
        <w:t xml:space="preserve"> (supressiva), a </w:t>
      </w:r>
      <w:r w:rsidRPr="00075B01">
        <w:rPr>
          <w:rFonts w:asciiTheme="minorHAnsi" w:hAnsiTheme="minorHAnsi" w:cstheme="minorHAnsi"/>
          <w:b/>
          <w:sz w:val="24"/>
          <w:szCs w:val="24"/>
        </w:rPr>
        <w:t>Emenda nº 2</w:t>
      </w:r>
      <w:r w:rsidRPr="00075B01">
        <w:rPr>
          <w:rFonts w:asciiTheme="minorHAnsi" w:hAnsiTheme="minorHAnsi" w:cstheme="minorHAnsi"/>
          <w:sz w:val="24"/>
          <w:szCs w:val="24"/>
        </w:rPr>
        <w:t xml:space="preserve"> (modificativa) e a </w:t>
      </w:r>
      <w:r w:rsidRPr="00075B01">
        <w:rPr>
          <w:rFonts w:asciiTheme="minorHAnsi" w:hAnsiTheme="minorHAnsi" w:cstheme="minorHAnsi"/>
          <w:b/>
          <w:sz w:val="24"/>
          <w:szCs w:val="24"/>
        </w:rPr>
        <w:t>Emenda nº 3</w:t>
      </w:r>
      <w:r w:rsidRPr="00075B01">
        <w:rPr>
          <w:rFonts w:asciiTheme="minorHAnsi" w:hAnsiTheme="minorHAnsi" w:cstheme="minorHAnsi"/>
          <w:sz w:val="24"/>
          <w:szCs w:val="24"/>
        </w:rPr>
        <w:t xml:space="preserve"> (supressiva), todas relativas ao PL nº 31/2025.</w:t>
      </w:r>
    </w:p>
    <w:p w:rsidR="00A0370B" w:rsidRPr="001F6240" w:rsidP="00A0370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1F6240">
        <w:rPr>
          <w:rFonts w:asciiTheme="minorHAnsi" w:hAnsiTheme="minorHAnsi" w:cstheme="minorHAnsi"/>
          <w:b/>
          <w:sz w:val="24"/>
          <w:szCs w:val="24"/>
        </w:rPr>
        <w:t>Comissão de Educação, Saúde, Cultura, Esporte e Assistência Social</w:t>
      </w:r>
      <w:r w:rsidRPr="001F6240">
        <w:rPr>
          <w:rFonts w:asciiTheme="minorHAnsi" w:hAnsiTheme="minorHAnsi" w:cstheme="minorHAnsi"/>
          <w:sz w:val="24"/>
          <w:szCs w:val="24"/>
        </w:rPr>
        <w:t xml:space="preserve"> concentra-se na análise do mérito do PL, considerando seus impactos e alinhamento com as políticas públicas das áreas de sua competência.</w:t>
      </w:r>
    </w:p>
    <w:p w:rsidR="00075B01" w:rsidRPr="001F6240" w:rsidP="00A0370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72AB9" w:rsidRPr="001F6240" w:rsidP="002D6FEE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44C72" w:rsidP="002D6FEE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F6240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1F6240" w:rsidRPr="001F6240" w:rsidP="001F6240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1F6240">
        <w:rPr>
          <w:rFonts w:asciiTheme="minorHAnsi" w:hAnsiTheme="minorHAnsi" w:cstheme="minorHAnsi"/>
          <w:b/>
          <w:bCs/>
          <w:sz w:val="24"/>
          <w:szCs w:val="24"/>
        </w:rPr>
        <w:t>Conveniência e Oportunidade sob a Ótica da Educação, Saúde, Cultura, Esporte e Assistência Social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 xml:space="preserve">Esta Comissão, ao analisar o Projeto de Lei nº 31/2025, verifica sua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extrema relevância e oportunidade social</w:t>
      </w:r>
      <w:r w:rsidRPr="00075B01">
        <w:rPr>
          <w:rFonts w:asciiTheme="minorHAnsi" w:hAnsiTheme="minorHAnsi" w:cstheme="minorHAnsi"/>
          <w:sz w:val="24"/>
          <w:szCs w:val="24"/>
        </w:rPr>
        <w:t>, especialmente sob a perspectiva das áreas que compõem suas atribuições: Educação, Saúde, Cultura, Esporte e Assistência Social.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1. Saúde:</w:t>
      </w:r>
      <w:r w:rsidRPr="00075B01">
        <w:rPr>
          <w:rFonts w:asciiTheme="minorHAnsi" w:hAnsiTheme="minorHAnsi" w:cstheme="minorHAnsi"/>
          <w:sz w:val="24"/>
          <w:szCs w:val="24"/>
        </w:rPr>
        <w:t xml:space="preserve"> O envelhecimento populacional é uma realidade global e nacional, demandando políticas públicas que garantam não apenas a longevidade, mas, fundamentalmente,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qualidade de vida</w:t>
      </w:r>
      <w:r w:rsidRPr="00075B01">
        <w:rPr>
          <w:rFonts w:asciiTheme="minorHAnsi" w:hAnsiTheme="minorHAnsi" w:cstheme="minorHAnsi"/>
          <w:sz w:val="24"/>
          <w:szCs w:val="24"/>
        </w:rPr>
        <w:t xml:space="preserve"> dos idosos. A prática regular de atividades físicas é um dos pilares da medicina preventiva e da promoção da saúde na terceira idade. Diversos estudos científicos comprovam os benefícios da atividade física para idosos, como:</w:t>
      </w:r>
    </w:p>
    <w:p w:rsidR="00075B01" w:rsidRPr="00075B01" w:rsidP="00075B01">
      <w:pPr>
        <w:numPr>
          <w:ilvl w:val="0"/>
          <w:numId w:val="2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Prevenção e controle de doenças crônicas:</w:t>
      </w:r>
      <w:r w:rsidRPr="00075B01">
        <w:rPr>
          <w:rFonts w:asciiTheme="minorHAnsi" w:hAnsiTheme="minorHAnsi" w:cstheme="minorHAnsi"/>
          <w:sz w:val="24"/>
          <w:szCs w:val="24"/>
        </w:rPr>
        <w:t xml:space="preserve"> Redução do risco de hipertensão, diabetes mellitus tipo 2, doenças cardiovasculares, osteoporose e outras condições prevalentes nessa faixa etária (PAPALIA; FELDMAN; BUTLER, 2021).</w:t>
      </w:r>
    </w:p>
    <w:p w:rsidR="00075B01" w:rsidRPr="00075B01" w:rsidP="00075B01">
      <w:pPr>
        <w:numPr>
          <w:ilvl w:val="0"/>
          <w:numId w:val="2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Melhora da capacidade funcional:</w:t>
      </w:r>
      <w:r w:rsidRPr="00075B01">
        <w:rPr>
          <w:rFonts w:asciiTheme="minorHAnsi" w:hAnsiTheme="minorHAnsi" w:cstheme="minorHAnsi"/>
          <w:sz w:val="24"/>
          <w:szCs w:val="24"/>
        </w:rPr>
        <w:t xml:space="preserve"> Aumento da força muscular, equilíbrio, flexibilidade e mobilidade, fatores essenciais para a manutenção da autonomia e prevenção de quedas (ACSM, 2019).</w:t>
      </w:r>
    </w:p>
    <w:p w:rsidR="00075B01" w:rsidRPr="00075B01" w:rsidP="00075B01">
      <w:pPr>
        <w:numPr>
          <w:ilvl w:val="0"/>
          <w:numId w:val="2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Saúde mental:</w:t>
      </w:r>
      <w:r w:rsidRPr="00075B01">
        <w:rPr>
          <w:rFonts w:asciiTheme="minorHAnsi" w:hAnsiTheme="minorHAnsi" w:cstheme="minorHAnsi"/>
          <w:sz w:val="24"/>
          <w:szCs w:val="24"/>
        </w:rPr>
        <w:t xml:space="preserve"> Contribuição significativa para a redução do risco de depressão, ansiedade e declínio cognitivo, além de promover o bem-estar emocional e a autoestima (SOARES et al., 2015).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 xml:space="preserve">O Projeto de Lei, ao propor a criação de um programa específico, com academias ao ar livre e acompanhamento profissional, atende diretamente a essa necessidade, promovendo um envelhecimento mais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ativo, saudável e independente</w:t>
      </w:r>
      <w:r w:rsidRPr="00075B01">
        <w:rPr>
          <w:rFonts w:asciiTheme="minorHAnsi" w:hAnsiTheme="minorHAnsi" w:cstheme="minorHAnsi"/>
          <w:sz w:val="24"/>
          <w:szCs w:val="24"/>
        </w:rPr>
        <w:t>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2. Educação:</w:t>
      </w:r>
      <w:r w:rsidRPr="00075B01">
        <w:rPr>
          <w:rFonts w:asciiTheme="minorHAnsi" w:hAnsiTheme="minorHAnsi" w:cstheme="minorHAnsi"/>
          <w:sz w:val="24"/>
          <w:szCs w:val="24"/>
        </w:rPr>
        <w:t xml:space="preserve"> Embora o foco principal seja a atividade física, o programa proposto possui um forte componente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educacional</w:t>
      </w:r>
      <w:r w:rsidRPr="00075B01">
        <w:rPr>
          <w:rFonts w:asciiTheme="minorHAnsi" w:hAnsiTheme="minorHAnsi" w:cstheme="minorHAnsi"/>
          <w:sz w:val="24"/>
          <w:szCs w:val="24"/>
        </w:rPr>
        <w:t xml:space="preserve">. As campanhas de sensibilização mencionadas no Art. 2º, inciso IV, são cruciais para informar a população idosa e seus familiares sobre os benefícios da prática regular de exercícios. Além disso, a orientação por profissionais capacitados insere-se em um contexto educativo, ensinando a forma correta de executar os movimentos e os cuidados necessários. A educação para a saúde na terceira idade é um tema relevante, promovendo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autonomia informada</w:t>
      </w:r>
      <w:r w:rsidRPr="00075B01">
        <w:rPr>
          <w:rFonts w:asciiTheme="minorHAnsi" w:hAnsiTheme="minorHAnsi" w:cstheme="minorHAnsi"/>
          <w:sz w:val="24"/>
          <w:szCs w:val="24"/>
        </w:rPr>
        <w:t xml:space="preserve"> e a adoção de hábitos de vida saudáveis.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3. Cultura e Esporte:</w:t>
      </w:r>
      <w:r w:rsidRPr="00075B01">
        <w:rPr>
          <w:rFonts w:asciiTheme="minorHAnsi" w:hAnsiTheme="minorHAnsi" w:cstheme="minorHAnsi"/>
          <w:sz w:val="24"/>
          <w:szCs w:val="24"/>
        </w:rPr>
        <w:t xml:space="preserve"> A prática de atividades físicas e esportivas, mesmo que de baixo impacto, contribui para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integração social</w:t>
      </w:r>
      <w:r w:rsidRPr="00075B01">
        <w:rPr>
          <w:rFonts w:asciiTheme="minorHAnsi" w:hAnsiTheme="minorHAnsi" w:cstheme="minorHAnsi"/>
          <w:sz w:val="24"/>
          <w:szCs w:val="24"/>
        </w:rPr>
        <w:t xml:space="preserve"> dos idosos, combatendo o isolamento e promovendo o convívio. A participação em grupos de caminhada, ginástica ou outras atividades esportivas fomenta a construção de laços sociais e o sentimento de pertencimento, aspectos importantes para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qualidade de vida</w:t>
      </w:r>
      <w:r w:rsidRPr="00075B01">
        <w:rPr>
          <w:rFonts w:asciiTheme="minorHAnsi" w:hAnsiTheme="minorHAnsi" w:cstheme="minorHAnsi"/>
          <w:sz w:val="24"/>
          <w:szCs w:val="24"/>
        </w:rPr>
        <w:t xml:space="preserve"> e para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cultura do envelhecimento ativo</w:t>
      </w:r>
      <w:r w:rsidRPr="00075B01">
        <w:rPr>
          <w:rFonts w:asciiTheme="minorHAnsi" w:hAnsiTheme="minorHAnsi" w:cstheme="minorHAnsi"/>
          <w:sz w:val="24"/>
          <w:szCs w:val="24"/>
        </w:rPr>
        <w:t xml:space="preserve">. O esporte, </w:t>
      </w:r>
      <w:r w:rsidRPr="00075B01">
        <w:rPr>
          <w:rFonts w:asciiTheme="minorHAnsi" w:hAnsiTheme="minorHAnsi" w:cstheme="minorHAnsi"/>
          <w:sz w:val="24"/>
          <w:szCs w:val="24"/>
        </w:rPr>
        <w:t>em suas diversas manifestações, é um vetor de cidadania e inclusão, e a oferta de atividades direcionadas aos idosos reforça essa visão.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4. Assistência Social:</w:t>
      </w:r>
      <w:r w:rsidRPr="00075B01">
        <w:rPr>
          <w:rFonts w:asciiTheme="minorHAnsi" w:hAnsiTheme="minorHAnsi" w:cstheme="minorHAnsi"/>
          <w:sz w:val="24"/>
          <w:szCs w:val="24"/>
        </w:rPr>
        <w:t xml:space="preserve"> O isolamento social e a perda da autonomia são fatores que frequentemente levam à necessidade de intervenção da assistência social. Ao promover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inclusão social</w:t>
      </w:r>
      <w:r w:rsidRPr="00075B01">
        <w:rPr>
          <w:rFonts w:asciiTheme="minorHAnsi" w:hAnsiTheme="minorHAnsi" w:cstheme="minorHAnsi"/>
          <w:sz w:val="24"/>
          <w:szCs w:val="24"/>
        </w:rPr>
        <w:t xml:space="preserve">,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manutenção da saúde física e mental</w:t>
      </w:r>
      <w:r w:rsidRPr="00075B01">
        <w:rPr>
          <w:rFonts w:asciiTheme="minorHAnsi" w:hAnsiTheme="minorHAnsi" w:cstheme="minorHAnsi"/>
          <w:sz w:val="24"/>
          <w:szCs w:val="24"/>
        </w:rPr>
        <w:t xml:space="preserve"> e o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aumento da autonomia</w:t>
      </w:r>
      <w:r w:rsidRPr="00075B01">
        <w:rPr>
          <w:rFonts w:asciiTheme="minorHAnsi" w:hAnsiTheme="minorHAnsi" w:cstheme="minorHAnsi"/>
          <w:sz w:val="24"/>
          <w:szCs w:val="24"/>
        </w:rPr>
        <w:t xml:space="preserve">, o Programa Municipal de Atividades Físicas e Esportivas para Idosos atua de forma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preventiva</w:t>
      </w:r>
      <w:r w:rsidRPr="00075B01">
        <w:rPr>
          <w:rFonts w:asciiTheme="minorHAnsi" w:hAnsiTheme="minorHAnsi" w:cstheme="minorHAnsi"/>
          <w:sz w:val="24"/>
          <w:szCs w:val="24"/>
        </w:rPr>
        <w:t xml:space="preserve"> no âmbito da assistência social. Idosos mais ativos e socialmente integrados tendem a necessitar menos de cuidados assistenciais intensivos, liberando recursos e focando em intervenções mais específicas e necessárias. O acompanhamento regular dos participantes (Art. 3º, IV) permite identificar precocemente possíveis dificuldades, encaminhando-os para os serviços de assistência social adequados, quando necessário.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5. Análise das Emendas e do Parecer Jurídico:</w:t>
      </w:r>
      <w:r w:rsidRPr="00075B01">
        <w:rPr>
          <w:rFonts w:asciiTheme="minorHAnsi" w:hAnsiTheme="minorHAnsi" w:cstheme="minorHAnsi"/>
          <w:sz w:val="24"/>
          <w:szCs w:val="24"/>
        </w:rPr>
        <w:t xml:space="preserve"> Esta comissão analisou o parecer jurídico da SGP (Consulta/0195/2025/JG/G) e as emendas apresentadas. A preocupação com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iniciativa parlamentar e a reserva de administração</w:t>
      </w:r>
      <w:r w:rsidRPr="00075B01">
        <w:rPr>
          <w:rFonts w:asciiTheme="minorHAnsi" w:hAnsiTheme="minorHAnsi" w:cstheme="minorHAnsi"/>
          <w:sz w:val="24"/>
          <w:szCs w:val="24"/>
        </w:rPr>
        <w:t xml:space="preserve"> apontada no parecer jurídico é pertinente. As Emendas nº 2 e 3 são fundamentais para adequar o projeto, transformando as obrigações impostas ao Executivo em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possibilidades</w:t>
      </w:r>
      <w:r w:rsidRPr="00075B01">
        <w:rPr>
          <w:rFonts w:asciiTheme="minorHAnsi" w:hAnsiTheme="minorHAnsi" w:cstheme="minorHAnsi"/>
          <w:sz w:val="24"/>
          <w:szCs w:val="24"/>
        </w:rPr>
        <w:t xml:space="preserve"> (Emenda nº 2) e suprimindo o artigo que criava atribuições diretas às Secretarias (Emenda nº 3).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 xml:space="preserve">A Emenda nº 2, ao alterar os incisos I e II do Art. 2º para "Possibilidade em manter..." e "Possibilidade de disponibilizar...", confere ao Poder Executivo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flexibilidade necessária para a gestão</w:t>
      </w:r>
      <w:r w:rsidRPr="00075B01">
        <w:rPr>
          <w:rFonts w:asciiTheme="minorHAnsi" w:hAnsiTheme="minorHAnsi" w:cstheme="minorHAnsi"/>
          <w:sz w:val="24"/>
          <w:szCs w:val="24"/>
        </w:rPr>
        <w:t>, sem impor obrigações rígidas que poderiam configurar vício de iniciativa.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A Emenda nº 3, ao suprimir o Art. 5º, retira do projeto os dispositivos que atribuíam às Secretarias competências específicas de definição de normas técnicas, promoção de capacitação e fiscalização, que são de natureza administrativa e executiva. Esta supressão alinha o projeto à competência legislativa do Poder Legislativo, que atua na criação de políticas e diretrizes.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A Emenda nº 1, ao suprimir a expressão "revogadas as disposições em contrário" do Art. 7º, corrige uma impropriedade técnica, conforme justificado, garantindo maior clareza e aderência às normas de técnica legislativa.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 xml:space="preserve">Com as devidas correções promovidas pelas Emendas nº 1, 2 e 3, o Projeto de Lei nº 31/2025, em sua redação final, torna-se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juridicamente hígido e administrativamente viável</w:t>
      </w:r>
      <w:r w:rsidRPr="00075B01">
        <w:rPr>
          <w:rFonts w:asciiTheme="minorHAnsi" w:hAnsiTheme="minorHAnsi" w:cstheme="minorHAnsi"/>
          <w:sz w:val="24"/>
          <w:szCs w:val="24"/>
        </w:rPr>
        <w:t>, estabelecendo um marco legal para a promoção da saúde e bem-estar dos idosos em Mogi Mirim. A lei passará a ter caráter diretriz, permitindo que o Executivo, dentro de sua discricionariedade administrativa e orçamentária, implemente o programa de forma eficaz.</w:t>
      </w:r>
    </w:p>
    <w:p w:rsidR="00075B01" w:rsidRPr="001F6240" w:rsidP="002D6FEE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D1416" w:rsidRPr="001F6240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8C20A9" w:rsidRPr="001F6240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</w:p>
    <w:p w:rsidR="008C20A9" w:rsidRPr="001F6240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</w:p>
    <w:p w:rsidR="00F77D8F" w:rsidRPr="001F6240" w:rsidP="00A10C9C">
      <w:pPr>
        <w:pStyle w:val="BodyText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1F6240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D72AB9" w:rsidRPr="001F6240" w:rsidP="00520E42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sz w:val="24"/>
          <w:szCs w:val="24"/>
        </w:rPr>
        <w:t xml:space="preserve">Nesta análise, e considerando as emendas já apresentadas e aprovadas pela Comissão de Justiça e Redação, esta Comissão de Educação, Saúde, Cultura, Esporte e Assistência Social entende que as correções foram </w:t>
      </w:r>
      <w:r w:rsidRPr="001F6240">
        <w:rPr>
          <w:rFonts w:asciiTheme="minorHAnsi" w:hAnsiTheme="minorHAnsi" w:cstheme="minorHAnsi"/>
          <w:b/>
          <w:bCs/>
          <w:sz w:val="24"/>
          <w:szCs w:val="24"/>
        </w:rPr>
        <w:t>suficientes para sanar as impropriedades técnicas e os vícios de iniciativa</w:t>
      </w:r>
      <w:r w:rsidRPr="001F6240">
        <w:rPr>
          <w:rFonts w:asciiTheme="minorHAnsi" w:hAnsiTheme="minorHAnsi" w:cstheme="minorHAnsi"/>
          <w:sz w:val="24"/>
          <w:szCs w:val="24"/>
        </w:rPr>
        <w:t xml:space="preserve"> apontados. Dessa forma, não se faz necessária a proposição de novas emendas ou substitutivos por parte desta comissão.</w:t>
      </w:r>
    </w:p>
    <w:p w:rsidR="008C20A9" w:rsidRPr="001F624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B3B08" w:rsidRPr="001F624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F6240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D72AB9" w:rsidRPr="00D72AB9" w:rsidP="00D72AB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D72AB9">
        <w:rPr>
          <w:rFonts w:asciiTheme="minorHAnsi" w:hAnsiTheme="minorHAnsi" w:cstheme="minorHAnsi"/>
          <w:sz w:val="24"/>
          <w:szCs w:val="24"/>
        </w:rPr>
        <w:t xml:space="preserve">Diante do exposto, e em consonância com a análise jurídica e o mérito das atribuições desta Comissão, este Relator entende que o </w:t>
      </w:r>
      <w:r w:rsidRPr="00D72AB9">
        <w:rPr>
          <w:rFonts w:asciiTheme="minorHAnsi" w:hAnsiTheme="minorHAnsi" w:cstheme="minorHAnsi"/>
          <w:b/>
          <w:bCs/>
          <w:sz w:val="24"/>
          <w:szCs w:val="24"/>
        </w:rPr>
        <w:t>Projeto de Lei nº 31/2025, com as Emendas nº 1, 2 e 3 incorporadas</w:t>
      </w:r>
      <w:r w:rsidRPr="00D72AB9">
        <w:rPr>
          <w:rFonts w:asciiTheme="minorHAnsi" w:hAnsiTheme="minorHAnsi" w:cstheme="minorHAnsi"/>
          <w:sz w:val="24"/>
          <w:szCs w:val="24"/>
        </w:rPr>
        <w:t xml:space="preserve">, apresenta </w:t>
      </w:r>
      <w:r w:rsidRPr="00D72AB9">
        <w:rPr>
          <w:rFonts w:asciiTheme="minorHAnsi" w:hAnsiTheme="minorHAnsi" w:cstheme="minorHAnsi"/>
          <w:b/>
          <w:bCs/>
          <w:sz w:val="24"/>
          <w:szCs w:val="24"/>
        </w:rPr>
        <w:t>extrema relevância e oportunidade social</w:t>
      </w:r>
      <w:r w:rsidRPr="00D72AB9">
        <w:rPr>
          <w:rFonts w:asciiTheme="minorHAnsi" w:hAnsiTheme="minorHAnsi" w:cstheme="minorHAnsi"/>
          <w:sz w:val="24"/>
          <w:szCs w:val="24"/>
        </w:rPr>
        <w:t xml:space="preserve"> para o Município de Mogi Mirim.</w:t>
      </w:r>
    </w:p>
    <w:p w:rsidR="00D72AB9" w:rsidP="00D72AB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D72AB9">
        <w:rPr>
          <w:rFonts w:asciiTheme="minorHAnsi" w:hAnsiTheme="minorHAnsi" w:cstheme="minorHAnsi"/>
          <w:sz w:val="24"/>
          <w:szCs w:val="24"/>
        </w:rPr>
        <w:t xml:space="preserve">A propositura, com as alterações realizadas, demonstra um compromisso efetivo com a </w:t>
      </w:r>
      <w:r w:rsidRPr="00D72AB9">
        <w:rPr>
          <w:rFonts w:asciiTheme="minorHAnsi" w:hAnsiTheme="minorHAnsi" w:cstheme="minorHAnsi"/>
          <w:b/>
          <w:sz w:val="24"/>
          <w:szCs w:val="24"/>
        </w:rPr>
        <w:t>proteção da saúde física e mental</w:t>
      </w:r>
      <w:r w:rsidRPr="00D72AB9">
        <w:rPr>
          <w:rFonts w:asciiTheme="minorHAnsi" w:hAnsiTheme="minorHAnsi" w:cstheme="minorHAnsi"/>
          <w:sz w:val="24"/>
          <w:szCs w:val="24"/>
        </w:rPr>
        <w:t xml:space="preserve">, a promoção da </w:t>
      </w:r>
      <w:r w:rsidRPr="00D72AB9">
        <w:rPr>
          <w:rFonts w:asciiTheme="minorHAnsi" w:hAnsiTheme="minorHAnsi" w:cstheme="minorHAnsi"/>
          <w:b/>
          <w:sz w:val="24"/>
          <w:szCs w:val="24"/>
        </w:rPr>
        <w:t>autonomia</w:t>
      </w:r>
      <w:r w:rsidRPr="00D72AB9">
        <w:rPr>
          <w:rFonts w:asciiTheme="minorHAnsi" w:hAnsiTheme="minorHAnsi" w:cstheme="minorHAnsi"/>
          <w:sz w:val="24"/>
          <w:szCs w:val="24"/>
        </w:rPr>
        <w:t xml:space="preserve">, a </w:t>
      </w:r>
      <w:r w:rsidRPr="00D72AB9">
        <w:rPr>
          <w:rFonts w:asciiTheme="minorHAnsi" w:hAnsiTheme="minorHAnsi" w:cstheme="minorHAnsi"/>
          <w:b/>
          <w:sz w:val="24"/>
          <w:szCs w:val="24"/>
        </w:rPr>
        <w:t>inclusão social</w:t>
      </w:r>
      <w:r w:rsidRPr="00D72AB9">
        <w:rPr>
          <w:rFonts w:asciiTheme="minorHAnsi" w:hAnsiTheme="minorHAnsi" w:cstheme="minorHAnsi"/>
          <w:sz w:val="24"/>
          <w:szCs w:val="24"/>
        </w:rPr>
        <w:t xml:space="preserve"> e a melhoria da </w:t>
      </w:r>
      <w:r w:rsidRPr="00D72AB9">
        <w:rPr>
          <w:rFonts w:asciiTheme="minorHAnsi" w:hAnsiTheme="minorHAnsi" w:cstheme="minorHAnsi"/>
          <w:b/>
          <w:sz w:val="24"/>
          <w:szCs w:val="24"/>
        </w:rPr>
        <w:t>qualidade de vida da população idosa</w:t>
      </w:r>
      <w:r w:rsidRPr="00D72AB9">
        <w:rPr>
          <w:rFonts w:asciiTheme="minorHAnsi" w:hAnsiTheme="minorHAnsi" w:cstheme="minorHAnsi"/>
          <w:sz w:val="24"/>
          <w:szCs w:val="24"/>
        </w:rPr>
        <w:t>, objetivos estes que se alinham diretamente às competências desta Comissão. O projeto, em sua forma final, estabelece um marco legal importante para a política municipal voltada ao envelhecimento ativo e saudável, sem incorrer em vícios de inconstitucionalidade ou de iniciativa.</w:t>
      </w:r>
    </w:p>
    <w:p w:rsidR="001F6240" w:rsidP="00D72AB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1F6240" w:rsidRPr="00D72AB9" w:rsidP="00D72AB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72AB9" w:rsidRPr="001F624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A7AAC" w:rsidRPr="00075B0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5B01">
        <w:rPr>
          <w:rFonts w:asciiTheme="minorHAnsi" w:hAnsiTheme="minorHAnsi" w:cstheme="minorHAnsi"/>
          <w:b/>
          <w:sz w:val="24"/>
          <w:szCs w:val="24"/>
        </w:rPr>
        <w:t>SALA DAS SESSÕES</w:t>
      </w:r>
      <w:r w:rsidR="00D72AB9">
        <w:rPr>
          <w:rFonts w:asciiTheme="minorHAnsi" w:hAnsiTheme="minorHAnsi" w:cstheme="minorHAnsi"/>
          <w:b/>
          <w:sz w:val="24"/>
          <w:szCs w:val="24"/>
        </w:rPr>
        <w:t xml:space="preserve"> “VEREADOR SANTO RÓTTOLI”, em 15 de setembro</w:t>
      </w:r>
      <w:r w:rsidRPr="00075B01">
        <w:rPr>
          <w:rFonts w:asciiTheme="minorHAnsi" w:hAnsiTheme="minorHAnsi" w:cstheme="minorHAnsi"/>
          <w:b/>
          <w:sz w:val="24"/>
          <w:szCs w:val="24"/>
        </w:rPr>
        <w:t xml:space="preserve"> de 2025.</w:t>
      </w:r>
    </w:p>
    <w:p w:rsidR="001F62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6240" w:rsidRPr="00075B0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97569" w:rsidRPr="00075B0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8C20A9" w:rsidRPr="00075B0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C97569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97569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 w:rsidRPr="00C97569">
        <w:rPr>
          <w:rFonts w:asciiTheme="minorHAnsi" w:hAnsiTheme="minorHAnsi" w:cstheme="minorHAnsi"/>
          <w:i/>
          <w:sz w:val="22"/>
          <w:szCs w:val="22"/>
        </w:rPr>
        <w:t>ssinado</w:t>
      </w:r>
      <w:r w:rsidRPr="00C97569">
        <w:rPr>
          <w:rFonts w:asciiTheme="minorHAnsi" w:hAnsiTheme="minorHAnsi" w:cstheme="minorHAnsi"/>
          <w:i/>
          <w:sz w:val="22"/>
          <w:szCs w:val="22"/>
        </w:rPr>
        <w:t xml:space="preserve"> digitalmente)</w:t>
      </w:r>
    </w:p>
    <w:p w:rsidR="001A7AAC" w:rsidRPr="004F6522" w:rsidP="001A7A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="00D510D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1A7AAC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>
        <w:rPr>
          <w:rFonts w:eastAsia="Arial" w:asciiTheme="minorHAnsi" w:hAnsiTheme="minorHAnsi" w:cstheme="minorHAnsi"/>
          <w:i/>
          <w:iCs/>
          <w:sz w:val="28"/>
          <w:szCs w:val="28"/>
        </w:rPr>
        <w:t>Relator</w:t>
      </w: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RPr="004F6522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A2285C" w:rsidRPr="00840AA7" w:rsidP="00A2285C">
      <w:pPr>
        <w:suppressAutoHyphens w:val="0"/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840AA7">
        <w:rPr>
          <w:b/>
          <w:bCs/>
          <w:sz w:val="24"/>
          <w:szCs w:val="24"/>
        </w:rPr>
        <w:t>Fontes de pesquisa consultadas:</w:t>
      </w:r>
    </w:p>
    <w:p w:rsidR="001F6240" w:rsidRPr="001F6240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D72AB9" w:rsidRPr="00840AA7" w:rsidP="00D72AB9">
      <w:pPr>
        <w:pStyle w:val="NoSpacing"/>
        <w:rPr>
          <w:sz w:val="24"/>
          <w:szCs w:val="24"/>
        </w:rPr>
      </w:pPr>
      <w:r w:rsidRPr="00D72AB9">
        <w:rPr>
          <w:rFonts w:hAnsi="Symbol"/>
        </w:rPr>
        <w:t></w:t>
      </w:r>
      <w:r w:rsidRPr="00D72AB9">
        <w:t xml:space="preserve">  </w:t>
      </w:r>
      <w:r w:rsidRPr="00840AA7">
        <w:rPr>
          <w:b/>
          <w:bCs/>
          <w:sz w:val="24"/>
          <w:szCs w:val="24"/>
        </w:rPr>
        <w:t>BRASIL.</w:t>
      </w:r>
      <w:r w:rsidRPr="00840AA7">
        <w:rPr>
          <w:sz w:val="24"/>
          <w:szCs w:val="24"/>
        </w:rPr>
        <w:t xml:space="preserve"> Constituição da República Federativa do Brasil de 1988. 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BRASIL.</w:t>
      </w:r>
      <w:r w:rsidRPr="00840AA7">
        <w:rPr>
          <w:sz w:val="24"/>
          <w:szCs w:val="24"/>
        </w:rPr>
        <w:t xml:space="preserve"> Lei Complementar nº 95, de 26 de fevereiro de 1998. Dispõe sobre a elaboração, a redação, a alteração e a consolidação das leis, nos termos do inciso I do art. 37 da Constituição Federal, e estabelece normas para o processamento da legis</w:t>
      </w:r>
      <w:r w:rsidR="00840AA7">
        <w:rPr>
          <w:sz w:val="24"/>
          <w:szCs w:val="24"/>
        </w:rPr>
        <w:t xml:space="preserve">lação em processo eletrônico. 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BRASIL.</w:t>
      </w:r>
      <w:r w:rsidRPr="00840AA7">
        <w:rPr>
          <w:sz w:val="24"/>
          <w:szCs w:val="24"/>
        </w:rPr>
        <w:t xml:space="preserve"> Lei Orgânica do Município</w:t>
      </w:r>
      <w:r w:rsidR="00840AA7">
        <w:rPr>
          <w:sz w:val="24"/>
          <w:szCs w:val="24"/>
        </w:rPr>
        <w:t xml:space="preserve"> de Mogi Mirim (LOM). 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AMERICAN COLLEGE OF SPORTS MEDICINE (ACSM).</w:t>
      </w:r>
      <w:r w:rsidRPr="00840AA7">
        <w:rPr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ACSM’s</w:t>
      </w:r>
      <w:r w:rsidRPr="00840AA7">
        <w:rPr>
          <w:i/>
          <w:iCs/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Guidelines</w:t>
      </w:r>
      <w:r w:rsidRPr="00840AA7">
        <w:rPr>
          <w:i/>
          <w:iCs/>
          <w:sz w:val="24"/>
          <w:szCs w:val="24"/>
        </w:rPr>
        <w:t xml:space="preserve"> for </w:t>
      </w:r>
      <w:r w:rsidRPr="00840AA7">
        <w:rPr>
          <w:i/>
          <w:iCs/>
          <w:sz w:val="24"/>
          <w:szCs w:val="24"/>
        </w:rPr>
        <w:t>Exercise</w:t>
      </w:r>
      <w:r w:rsidRPr="00840AA7">
        <w:rPr>
          <w:i/>
          <w:iCs/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Testing</w:t>
      </w:r>
      <w:r w:rsidRPr="00840AA7">
        <w:rPr>
          <w:i/>
          <w:iCs/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and</w:t>
      </w:r>
      <w:r w:rsidRPr="00840AA7">
        <w:rPr>
          <w:i/>
          <w:iCs/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Prescription</w:t>
      </w:r>
      <w:r w:rsidRPr="00840AA7">
        <w:rPr>
          <w:sz w:val="24"/>
          <w:szCs w:val="24"/>
        </w:rPr>
        <w:t xml:space="preserve">. 10ª ed. Philadelphia: </w:t>
      </w:r>
      <w:r w:rsidRPr="00840AA7">
        <w:rPr>
          <w:sz w:val="24"/>
          <w:szCs w:val="24"/>
        </w:rPr>
        <w:t>Lippincott</w:t>
      </w:r>
      <w:r w:rsidRPr="00840AA7">
        <w:rPr>
          <w:sz w:val="24"/>
          <w:szCs w:val="24"/>
        </w:rPr>
        <w:t xml:space="preserve"> Williams &amp; Wilkins, 2019.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MEIRELLES, Hely Lopes.</w:t>
      </w:r>
      <w:r w:rsidRPr="00840AA7">
        <w:rPr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Direito Municipal Brasileiro</w:t>
      </w:r>
      <w:r w:rsidRPr="00840AA7">
        <w:rPr>
          <w:sz w:val="24"/>
          <w:szCs w:val="24"/>
        </w:rPr>
        <w:t>. 22ª ed. São Paulo: Malheiros, 2025. (Utilizado no Parecer Jurídico, pertinente para a compreensão da reserva de administração).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NÉRY, Regina Maria Macedo Ferrari.</w:t>
      </w:r>
      <w:r w:rsidRPr="00840AA7">
        <w:rPr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Direito Municipal</w:t>
      </w:r>
      <w:r w:rsidRPr="00840AA7">
        <w:rPr>
          <w:sz w:val="24"/>
          <w:szCs w:val="24"/>
        </w:rPr>
        <w:t>. 5ª ed. Fórum, Belo Horizonte, 2018. (Utilizado no Parecer Jurídico, pertinente para a competência legislativa municipal).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NOVELINO, Marcelo.</w:t>
      </w:r>
      <w:r w:rsidRPr="00840AA7">
        <w:rPr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Curso de Direito Constitucional</w:t>
      </w:r>
      <w:r w:rsidRPr="00840AA7">
        <w:rPr>
          <w:sz w:val="24"/>
          <w:szCs w:val="24"/>
        </w:rPr>
        <w:t xml:space="preserve">. 18ª ed. </w:t>
      </w:r>
      <w:r w:rsidRPr="00840AA7">
        <w:rPr>
          <w:sz w:val="24"/>
          <w:szCs w:val="24"/>
        </w:rPr>
        <w:t>JusPodivm</w:t>
      </w:r>
      <w:r w:rsidRPr="00840AA7">
        <w:rPr>
          <w:sz w:val="24"/>
          <w:szCs w:val="24"/>
        </w:rPr>
        <w:t>, Salvador, 2023. (Utilizado no Parecer Jurídico, pertinente para a iniciativa legislativa).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Organização Mundial da Saúde (OMS).</w:t>
      </w:r>
      <w:r w:rsidRPr="00840AA7">
        <w:rPr>
          <w:sz w:val="24"/>
          <w:szCs w:val="24"/>
        </w:rPr>
        <w:t xml:space="preserve"> Classificação Estatística Internacional de Doenças e Problemas Rela</w:t>
      </w:r>
      <w:r w:rsidR="00840AA7">
        <w:rPr>
          <w:sz w:val="24"/>
          <w:szCs w:val="24"/>
        </w:rPr>
        <w:t xml:space="preserve">cionados à Saúde – CID-11. </w:t>
      </w:r>
      <w:bookmarkStart w:id="0" w:name="_GoBack"/>
      <w:bookmarkEnd w:id="0"/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 xml:space="preserve">PAPALIA, Diane E.; FELDMAN, Ruth </w:t>
      </w:r>
      <w:r w:rsidRPr="00840AA7">
        <w:rPr>
          <w:b/>
          <w:bCs/>
          <w:sz w:val="24"/>
          <w:szCs w:val="24"/>
        </w:rPr>
        <w:t>Duskin</w:t>
      </w:r>
      <w:r w:rsidRPr="00840AA7">
        <w:rPr>
          <w:b/>
          <w:bCs/>
          <w:sz w:val="24"/>
          <w:szCs w:val="24"/>
        </w:rPr>
        <w:t>; BUTLER, campo.</w:t>
      </w:r>
      <w:r w:rsidRPr="00840AA7">
        <w:rPr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Desenvolvimento Humano</w:t>
      </w:r>
      <w:r w:rsidRPr="00840AA7">
        <w:rPr>
          <w:sz w:val="24"/>
          <w:szCs w:val="24"/>
        </w:rPr>
        <w:t>. 15ª ed. Porto Alegre: Artmed, 2021. (Para embasar os benefícios do exercício na terceira idade).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SGP Soluções em Gestão Pública.</w:t>
      </w:r>
      <w:r w:rsidRPr="00840AA7">
        <w:rPr>
          <w:sz w:val="24"/>
          <w:szCs w:val="24"/>
        </w:rPr>
        <w:t xml:space="preserve"> Consulta/0195/2025/JG/G. Mogi Mirim, 17 de abril de 2025.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 xml:space="preserve">SOARES, </w:t>
      </w:r>
      <w:r w:rsidRPr="00840AA7">
        <w:rPr>
          <w:b/>
          <w:bCs/>
          <w:sz w:val="24"/>
          <w:szCs w:val="24"/>
        </w:rPr>
        <w:t>Nataniel</w:t>
      </w:r>
      <w:r w:rsidRPr="00840AA7">
        <w:rPr>
          <w:b/>
          <w:bCs/>
          <w:sz w:val="24"/>
          <w:szCs w:val="24"/>
        </w:rPr>
        <w:t>; et al.</w:t>
      </w:r>
      <w:r w:rsidRPr="00840AA7">
        <w:rPr>
          <w:sz w:val="24"/>
          <w:szCs w:val="24"/>
        </w:rPr>
        <w:t xml:space="preserve"> Benefícios da atividade física para idosos. </w:t>
      </w:r>
      <w:r w:rsidRPr="00840AA7">
        <w:rPr>
          <w:i/>
          <w:iCs/>
          <w:sz w:val="24"/>
          <w:szCs w:val="24"/>
        </w:rPr>
        <w:t xml:space="preserve">Revista Brasileira de </w:t>
      </w:r>
      <w:r w:rsidRPr="00840AA7">
        <w:rPr>
          <w:i/>
          <w:iCs/>
          <w:sz w:val="24"/>
          <w:szCs w:val="24"/>
        </w:rPr>
        <w:t>Cineantropometria</w:t>
      </w:r>
      <w:r w:rsidRPr="00840AA7">
        <w:rPr>
          <w:i/>
          <w:iCs/>
          <w:sz w:val="24"/>
          <w:szCs w:val="24"/>
        </w:rPr>
        <w:t xml:space="preserve"> e Desempenho Humano</w:t>
      </w:r>
      <w:r w:rsidRPr="00840AA7">
        <w:rPr>
          <w:sz w:val="24"/>
          <w:szCs w:val="24"/>
        </w:rPr>
        <w:t>, v. 17, n. 4, p. 490-500, 2015.</w:t>
      </w:r>
    </w:p>
    <w:p w:rsidR="00747ADE" w:rsidRPr="00840AA7" w:rsidP="00D72AB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:rsidR="00747ADE" w:rsidRPr="00840AA7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DF6E2F" w:rsidRPr="00840AA7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321589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RPr="004F6522" w:rsidP="001F6240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PARECER DA COMISSÃO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DE EDUCAÇÃO, SAÚDE, CULTURA, ESPORTE E ASSISTÊNCIA SOCIAL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LEI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1F624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31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A2285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="002A1B4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="002051F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1F624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EVERTON BOMBARDA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D510D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4C0216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Diante do exposto, esta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omissão de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Educação, Saúde, Cultura, Esporte e Assistência </w:t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Social, manifesta-se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favoravelmente </w:t>
      </w:r>
      <w:r w:rsidRPr="00C97569">
        <w:rPr>
          <w:rFonts w:asciiTheme="minorHAnsi" w:hAnsiTheme="minorHAnsi" w:cstheme="minorHAnsi"/>
          <w:sz w:val="24"/>
          <w:szCs w:val="24"/>
        </w:rPr>
        <w:t>a</w:t>
      </w:r>
      <w:r w:rsidR="00EF43D4">
        <w:rPr>
          <w:rFonts w:asciiTheme="minorHAnsi" w:hAnsiTheme="minorHAnsi" w:cstheme="minorHAnsi"/>
          <w:sz w:val="24"/>
          <w:szCs w:val="24"/>
        </w:rPr>
        <w:t>o projeto de lei</w:t>
      </w:r>
      <w:r w:rsidRPr="00C97569" w:rsidR="00C975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702" w:rsidR="00EF43D4">
        <w:rPr>
          <w:rFonts w:asciiTheme="minorHAnsi" w:hAnsiTheme="minorHAnsi" w:cstheme="minorHAnsi"/>
          <w:sz w:val="24"/>
          <w:szCs w:val="24"/>
        </w:rPr>
        <w:t>que</w:t>
      </w:r>
      <w:r w:rsidRPr="00A0370B" w:rsidR="00EF43D4">
        <w:rPr>
          <w:rFonts w:asciiTheme="minorHAnsi" w:hAnsiTheme="minorHAnsi" w:cstheme="minorHAnsi"/>
          <w:b/>
          <w:sz w:val="24"/>
          <w:szCs w:val="24"/>
        </w:rPr>
        <w:t xml:space="preserve"> "</w:t>
      </w:r>
      <w:r w:rsidRPr="001F6240" w:rsidR="001F62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5B01" w:rsidR="001F6240">
        <w:rPr>
          <w:rFonts w:asciiTheme="minorHAnsi" w:hAnsiTheme="minorHAnsi" w:cstheme="minorHAnsi"/>
          <w:b/>
          <w:sz w:val="24"/>
          <w:szCs w:val="24"/>
        </w:rPr>
        <w:t>Dispõe sobre a criação do programa municipal de atividades físicas e esportivas para idosos, e dá outras providências</w:t>
      </w:r>
      <w:r w:rsidRPr="00A0370B" w:rsidR="001F62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97569">
        <w:rPr>
          <w:rFonts w:asciiTheme="minorHAnsi" w:hAnsiTheme="minorHAnsi" w:cstheme="minorHAnsi"/>
          <w:sz w:val="24"/>
          <w:szCs w:val="24"/>
        </w:rPr>
        <w:t>n</w:t>
      </w:r>
      <w:r w:rsidR="001F6240">
        <w:rPr>
          <w:rFonts w:asciiTheme="minorHAnsi" w:hAnsiTheme="minorHAnsi" w:cstheme="minorHAnsi"/>
          <w:sz w:val="24"/>
          <w:szCs w:val="24"/>
        </w:rPr>
        <w:t>o Município de Mogi Mirim,</w:t>
      </w:r>
      <w:r w:rsidRPr="001F6240" w:rsidR="001F6240">
        <w:t xml:space="preserve"> </w:t>
      </w:r>
      <w:r w:rsidRPr="001F6240" w:rsidR="001F6240">
        <w:rPr>
          <w:rFonts w:asciiTheme="minorHAnsi" w:hAnsiTheme="minorHAnsi" w:cstheme="minorHAnsi"/>
          <w:sz w:val="24"/>
          <w:szCs w:val="24"/>
        </w:rPr>
        <w:t>com a incorporação das Emendas nº 1, 2 e 3, por entender que ele está em conformidade com a Constituição Federal, com a Lei Orgânica do Município e com as normas de técnica legislativa, além de apresentar grande relevância social e oportunidade para o Município de Mogi Mirim</w:t>
      </w:r>
    </w:p>
    <w:p w:rsidR="00F77D8F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Em </w:t>
      </w:r>
      <w:r w:rsidRPr="00C97569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consonância com o voto proferido pelo eminente Relator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e em cu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artigo 39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Vigente, todos os membros da C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omissão de Educação, Saúde, Cultura, Esporte e Assistência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Social foram favoráveis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parecer no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C97569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F77D8F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Portanto, esta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Comissão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Parecer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b/>
          <w:iCs/>
          <w:color w:val="000000"/>
          <w:sz w:val="24"/>
          <w:szCs w:val="24"/>
        </w:rPr>
        <w:t>FAVORÁVEL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, ao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Pr="00C97569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C97569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4F6522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="00D72AB9">
        <w:rPr>
          <w:rFonts w:asciiTheme="minorHAnsi" w:hAnsiTheme="minorHAnsi" w:cstheme="minorHAnsi"/>
          <w:b/>
          <w:iCs/>
          <w:sz w:val="24"/>
          <w:szCs w:val="24"/>
        </w:rPr>
        <w:t>Comissões, 15</w:t>
      </w:r>
      <w:r w:rsidR="00A10C9C">
        <w:rPr>
          <w:rFonts w:asciiTheme="minorHAnsi" w:hAnsiTheme="minorHAnsi" w:cstheme="minorHAnsi"/>
          <w:b/>
          <w:iCs/>
          <w:sz w:val="24"/>
          <w:szCs w:val="24"/>
        </w:rPr>
        <w:t xml:space="preserve"> de </w:t>
      </w:r>
      <w:r w:rsidR="00D72AB9">
        <w:rPr>
          <w:rFonts w:asciiTheme="minorHAnsi" w:hAnsiTheme="minorHAnsi" w:cstheme="minorHAnsi"/>
          <w:b/>
          <w:iCs/>
          <w:sz w:val="24"/>
          <w:szCs w:val="24"/>
        </w:rPr>
        <w:t>setembro</w:t>
      </w:r>
      <w:r w:rsidR="004C021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F6522" w:rsidR="004C0216">
        <w:rPr>
          <w:rFonts w:asciiTheme="minorHAnsi" w:hAnsiTheme="minorHAnsi" w:cstheme="minorHAnsi"/>
          <w:b/>
          <w:iCs/>
          <w:sz w:val="24"/>
          <w:szCs w:val="24"/>
        </w:rPr>
        <w:t>de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2025</w:t>
      </w:r>
    </w:p>
    <w:p w:rsidR="00C97569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RPr="004F6522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DF6E2F" w:rsidRPr="00DF6E2F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  <w:r w:rsidRPr="00DF6E2F">
        <w:rPr>
          <w:rFonts w:eastAsia="Arial" w:asciiTheme="minorHAnsi" w:hAnsiTheme="minorHAnsi" w:cstheme="minorHAnsi"/>
          <w:iCs/>
          <w:sz w:val="28"/>
          <w:szCs w:val="28"/>
        </w:rPr>
        <w:t>Membro</w:t>
      </w:r>
      <w:r>
        <w:rPr>
          <w:rFonts w:eastAsia="Arial" w:asciiTheme="minorHAnsi" w:hAnsiTheme="minorHAnsi" w:cstheme="minorHAnsi"/>
          <w:iCs/>
          <w:sz w:val="28"/>
          <w:szCs w:val="28"/>
        </w:rPr>
        <w:t xml:space="preserve"> (Relator)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364D0"/>
    <w:multiLevelType w:val="multilevel"/>
    <w:tmpl w:val="827A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F5285"/>
    <w:multiLevelType w:val="multilevel"/>
    <w:tmpl w:val="FF0E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37CB2"/>
    <w:multiLevelType w:val="multilevel"/>
    <w:tmpl w:val="03B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312F7"/>
    <w:multiLevelType w:val="multilevel"/>
    <w:tmpl w:val="A62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14E3D"/>
    <w:multiLevelType w:val="multilevel"/>
    <w:tmpl w:val="7CF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3645E3"/>
    <w:multiLevelType w:val="multilevel"/>
    <w:tmpl w:val="8DC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721D1"/>
    <w:multiLevelType w:val="multilevel"/>
    <w:tmpl w:val="EAE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FC340C"/>
    <w:multiLevelType w:val="multilevel"/>
    <w:tmpl w:val="FD2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6758EB"/>
    <w:multiLevelType w:val="multilevel"/>
    <w:tmpl w:val="0E76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0747B9"/>
    <w:multiLevelType w:val="multilevel"/>
    <w:tmpl w:val="6BE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7B47C1"/>
    <w:multiLevelType w:val="multilevel"/>
    <w:tmpl w:val="D646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056DDF"/>
    <w:multiLevelType w:val="multilevel"/>
    <w:tmpl w:val="A76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4C78F4"/>
    <w:multiLevelType w:val="multilevel"/>
    <w:tmpl w:val="154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13"/>
  </w:num>
  <w:num w:numId="6">
    <w:abstractNumId w:val="22"/>
  </w:num>
  <w:num w:numId="7">
    <w:abstractNumId w:val="21"/>
  </w:num>
  <w:num w:numId="8">
    <w:abstractNumId w:val="12"/>
  </w:num>
  <w:num w:numId="9">
    <w:abstractNumId w:val="5"/>
  </w:num>
  <w:num w:numId="10">
    <w:abstractNumId w:val="23"/>
  </w:num>
  <w:num w:numId="11">
    <w:abstractNumId w:val="17"/>
  </w:num>
  <w:num w:numId="12">
    <w:abstractNumId w:val="20"/>
  </w:num>
  <w:num w:numId="13">
    <w:abstractNumId w:val="1"/>
  </w:num>
  <w:num w:numId="14">
    <w:abstractNumId w:val="11"/>
  </w:num>
  <w:num w:numId="15">
    <w:abstractNumId w:val="18"/>
  </w:num>
  <w:num w:numId="16">
    <w:abstractNumId w:val="24"/>
  </w:num>
  <w:num w:numId="17">
    <w:abstractNumId w:val="19"/>
  </w:num>
  <w:num w:numId="18">
    <w:abstractNumId w:val="16"/>
  </w:num>
  <w:num w:numId="19">
    <w:abstractNumId w:val="8"/>
  </w:num>
  <w:num w:numId="20">
    <w:abstractNumId w:val="10"/>
  </w:num>
  <w:num w:numId="21">
    <w:abstractNumId w:val="6"/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44648"/>
    <w:rsid w:val="0005594A"/>
    <w:rsid w:val="000628CA"/>
    <w:rsid w:val="00075B01"/>
    <w:rsid w:val="00097F32"/>
    <w:rsid w:val="000D3816"/>
    <w:rsid w:val="00107091"/>
    <w:rsid w:val="0013259D"/>
    <w:rsid w:val="00145113"/>
    <w:rsid w:val="00183A77"/>
    <w:rsid w:val="001863A6"/>
    <w:rsid w:val="001A2418"/>
    <w:rsid w:val="001A3B99"/>
    <w:rsid w:val="001A632E"/>
    <w:rsid w:val="001A7AAC"/>
    <w:rsid w:val="001B1E79"/>
    <w:rsid w:val="001C6BDB"/>
    <w:rsid w:val="001E1A18"/>
    <w:rsid w:val="001F6240"/>
    <w:rsid w:val="002051FD"/>
    <w:rsid w:val="002A1B44"/>
    <w:rsid w:val="002B025D"/>
    <w:rsid w:val="002C1B20"/>
    <w:rsid w:val="002D6FEE"/>
    <w:rsid w:val="0030304B"/>
    <w:rsid w:val="00304E22"/>
    <w:rsid w:val="00321589"/>
    <w:rsid w:val="00331083"/>
    <w:rsid w:val="00364C88"/>
    <w:rsid w:val="00365345"/>
    <w:rsid w:val="00377E96"/>
    <w:rsid w:val="003C0C62"/>
    <w:rsid w:val="003E5BDA"/>
    <w:rsid w:val="00481B36"/>
    <w:rsid w:val="004B3FED"/>
    <w:rsid w:val="004C0216"/>
    <w:rsid w:val="004F6522"/>
    <w:rsid w:val="00520E42"/>
    <w:rsid w:val="0053159D"/>
    <w:rsid w:val="005A09F8"/>
    <w:rsid w:val="006079ED"/>
    <w:rsid w:val="00651C6E"/>
    <w:rsid w:val="006F371C"/>
    <w:rsid w:val="006F3958"/>
    <w:rsid w:val="00747ADE"/>
    <w:rsid w:val="00763E5C"/>
    <w:rsid w:val="007A7A7E"/>
    <w:rsid w:val="007C2AF7"/>
    <w:rsid w:val="007F01FC"/>
    <w:rsid w:val="00826348"/>
    <w:rsid w:val="00840AA7"/>
    <w:rsid w:val="008649A4"/>
    <w:rsid w:val="00870D23"/>
    <w:rsid w:val="00876412"/>
    <w:rsid w:val="008A15DA"/>
    <w:rsid w:val="008B7EE7"/>
    <w:rsid w:val="008C20A9"/>
    <w:rsid w:val="008D1416"/>
    <w:rsid w:val="0095654A"/>
    <w:rsid w:val="00966075"/>
    <w:rsid w:val="009A5702"/>
    <w:rsid w:val="00A0370B"/>
    <w:rsid w:val="00A10C9C"/>
    <w:rsid w:val="00A2285C"/>
    <w:rsid w:val="00A80956"/>
    <w:rsid w:val="00AB54DE"/>
    <w:rsid w:val="00B046B9"/>
    <w:rsid w:val="00B47A15"/>
    <w:rsid w:val="00BD598D"/>
    <w:rsid w:val="00C613C5"/>
    <w:rsid w:val="00C97569"/>
    <w:rsid w:val="00CA6A83"/>
    <w:rsid w:val="00CB1F7C"/>
    <w:rsid w:val="00CC4004"/>
    <w:rsid w:val="00CC422D"/>
    <w:rsid w:val="00CC5985"/>
    <w:rsid w:val="00CD6D39"/>
    <w:rsid w:val="00D273E7"/>
    <w:rsid w:val="00D304E3"/>
    <w:rsid w:val="00D510D8"/>
    <w:rsid w:val="00D72AB9"/>
    <w:rsid w:val="00D730CA"/>
    <w:rsid w:val="00D75F46"/>
    <w:rsid w:val="00D97274"/>
    <w:rsid w:val="00DE256D"/>
    <w:rsid w:val="00DF6E2F"/>
    <w:rsid w:val="00DF77D1"/>
    <w:rsid w:val="00E13E44"/>
    <w:rsid w:val="00E34ACE"/>
    <w:rsid w:val="00E53E97"/>
    <w:rsid w:val="00E97F58"/>
    <w:rsid w:val="00EB3B08"/>
    <w:rsid w:val="00EC2122"/>
    <w:rsid w:val="00ED3103"/>
    <w:rsid w:val="00EE4E99"/>
    <w:rsid w:val="00EF43D4"/>
    <w:rsid w:val="00F378E5"/>
    <w:rsid w:val="00F44C72"/>
    <w:rsid w:val="00F61C35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13259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13259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13259D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normas-indices-artigo">
    <w:name w:val="normas-indices-artigo"/>
    <w:basedOn w:val="DefaultParagraphFont"/>
    <w:rsid w:val="002B025D"/>
  </w:style>
  <w:style w:type="character" w:customStyle="1" w:styleId="Ttulo2Char">
    <w:name w:val="Título 2 Char"/>
    <w:basedOn w:val="DefaultParagraphFont"/>
    <w:link w:val="Heading2"/>
    <w:uiPriority w:val="9"/>
    <w:rsid w:val="0013259D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13259D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13259D"/>
    <w:rPr>
      <w:b/>
      <w:bCs/>
      <w:sz w:val="24"/>
      <w:szCs w:val="24"/>
    </w:rPr>
  </w:style>
  <w:style w:type="character" w:customStyle="1" w:styleId="citation-513">
    <w:name w:val="citation-513"/>
    <w:basedOn w:val="DefaultParagraphFont"/>
    <w:rsid w:val="00D97274"/>
  </w:style>
  <w:style w:type="character" w:customStyle="1" w:styleId="citation-512">
    <w:name w:val="citation-512"/>
    <w:basedOn w:val="DefaultParagraphFont"/>
    <w:rsid w:val="00D97274"/>
  </w:style>
  <w:style w:type="character" w:customStyle="1" w:styleId="citation-511">
    <w:name w:val="citation-511"/>
    <w:basedOn w:val="DefaultParagraphFont"/>
    <w:rsid w:val="00D97274"/>
  </w:style>
  <w:style w:type="character" w:customStyle="1" w:styleId="citation-510">
    <w:name w:val="citation-510"/>
    <w:basedOn w:val="DefaultParagraphFont"/>
    <w:rsid w:val="00D97274"/>
  </w:style>
  <w:style w:type="character" w:customStyle="1" w:styleId="citation-509">
    <w:name w:val="citation-509"/>
    <w:basedOn w:val="DefaultParagraphFont"/>
    <w:rsid w:val="00D97274"/>
  </w:style>
  <w:style w:type="character" w:customStyle="1" w:styleId="citation-508">
    <w:name w:val="citation-508"/>
    <w:basedOn w:val="DefaultParagraphFont"/>
    <w:rsid w:val="00D97274"/>
  </w:style>
  <w:style w:type="character" w:customStyle="1" w:styleId="citation-507">
    <w:name w:val="citation-507"/>
    <w:basedOn w:val="DefaultParagraphFont"/>
    <w:rsid w:val="00D97274"/>
  </w:style>
  <w:style w:type="character" w:customStyle="1" w:styleId="citation-506">
    <w:name w:val="citation-506"/>
    <w:basedOn w:val="DefaultParagraphFont"/>
    <w:rsid w:val="00D97274"/>
  </w:style>
  <w:style w:type="character" w:customStyle="1" w:styleId="citation-505">
    <w:name w:val="citation-505"/>
    <w:basedOn w:val="DefaultParagraphFont"/>
    <w:rsid w:val="00D97274"/>
  </w:style>
  <w:style w:type="character" w:customStyle="1" w:styleId="citation-504">
    <w:name w:val="citation-504"/>
    <w:basedOn w:val="DefaultParagraphFont"/>
    <w:rsid w:val="0095654A"/>
  </w:style>
  <w:style w:type="character" w:customStyle="1" w:styleId="citation-503">
    <w:name w:val="citation-503"/>
    <w:basedOn w:val="DefaultParagraphFont"/>
    <w:rsid w:val="0095654A"/>
  </w:style>
  <w:style w:type="character" w:customStyle="1" w:styleId="citation-502">
    <w:name w:val="citation-502"/>
    <w:basedOn w:val="DefaultParagraphFont"/>
    <w:rsid w:val="0095654A"/>
  </w:style>
  <w:style w:type="character" w:customStyle="1" w:styleId="citation-501">
    <w:name w:val="citation-501"/>
    <w:basedOn w:val="DefaultParagraphFont"/>
    <w:rsid w:val="0095654A"/>
  </w:style>
  <w:style w:type="character" w:customStyle="1" w:styleId="citation-500">
    <w:name w:val="citation-500"/>
    <w:basedOn w:val="DefaultParagraphFont"/>
    <w:rsid w:val="0095654A"/>
  </w:style>
  <w:style w:type="character" w:customStyle="1" w:styleId="citation-499">
    <w:name w:val="citation-499"/>
    <w:basedOn w:val="DefaultParagraphFont"/>
    <w:rsid w:val="0095654A"/>
  </w:style>
  <w:style w:type="character" w:customStyle="1" w:styleId="citation-498">
    <w:name w:val="citation-498"/>
    <w:basedOn w:val="DefaultParagraphFont"/>
    <w:rsid w:val="0095654A"/>
  </w:style>
  <w:style w:type="character" w:customStyle="1" w:styleId="citation-497">
    <w:name w:val="citation-497"/>
    <w:basedOn w:val="DefaultParagraphFont"/>
    <w:rsid w:val="0095654A"/>
  </w:style>
  <w:style w:type="character" w:customStyle="1" w:styleId="citation-496">
    <w:name w:val="citation-496"/>
    <w:basedOn w:val="DefaultParagraphFont"/>
    <w:rsid w:val="0095654A"/>
  </w:style>
  <w:style w:type="character" w:customStyle="1" w:styleId="citation-495">
    <w:name w:val="citation-495"/>
    <w:basedOn w:val="DefaultParagraphFont"/>
    <w:rsid w:val="0095654A"/>
  </w:style>
  <w:style w:type="character" w:customStyle="1" w:styleId="citation-494">
    <w:name w:val="citation-494"/>
    <w:basedOn w:val="DefaultParagraphFont"/>
    <w:rsid w:val="0095654A"/>
  </w:style>
  <w:style w:type="character" w:customStyle="1" w:styleId="citation-493">
    <w:name w:val="citation-493"/>
    <w:basedOn w:val="DefaultParagraphFont"/>
    <w:rsid w:val="0095654A"/>
  </w:style>
  <w:style w:type="character" w:customStyle="1" w:styleId="citation-492">
    <w:name w:val="citation-492"/>
    <w:basedOn w:val="DefaultParagraphFont"/>
    <w:rsid w:val="0095654A"/>
  </w:style>
  <w:style w:type="character" w:customStyle="1" w:styleId="citation-491">
    <w:name w:val="citation-491"/>
    <w:basedOn w:val="DefaultParagraphFont"/>
    <w:rsid w:val="0095654A"/>
  </w:style>
  <w:style w:type="character" w:customStyle="1" w:styleId="citation-490">
    <w:name w:val="citation-490"/>
    <w:basedOn w:val="DefaultParagraphFont"/>
    <w:rsid w:val="0095654A"/>
  </w:style>
  <w:style w:type="character" w:styleId="Strong">
    <w:name w:val="Strong"/>
    <w:basedOn w:val="DefaultParagraphFont"/>
    <w:uiPriority w:val="22"/>
    <w:qFormat/>
    <w:rsid w:val="00A2285C"/>
    <w:rPr>
      <w:b/>
      <w:bCs/>
    </w:rPr>
  </w:style>
  <w:style w:type="paragraph" w:styleId="ListParagraph">
    <w:name w:val="List Paragraph"/>
    <w:basedOn w:val="Normal"/>
    <w:uiPriority w:val="34"/>
    <w:qFormat/>
    <w:rsid w:val="00D72AB9"/>
    <w:pPr>
      <w:ind w:left="720"/>
      <w:contextualSpacing/>
    </w:pPr>
  </w:style>
  <w:style w:type="paragraph" w:styleId="NoSpacing">
    <w:name w:val="No Spacing"/>
    <w:uiPriority w:val="1"/>
    <w:qFormat/>
    <w:rsid w:val="00D7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1850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Wilians</cp:lastModifiedBy>
  <cp:revision>2</cp:revision>
  <cp:lastPrinted>2025-08-04T14:54:00Z</cp:lastPrinted>
  <dcterms:created xsi:type="dcterms:W3CDTF">2025-09-15T13:05:00Z</dcterms:created>
  <dcterms:modified xsi:type="dcterms:W3CDTF">2025-09-15T13:05:00Z</dcterms:modified>
  <dc:language>pt-BR</dc:language>
</cp:coreProperties>
</file>