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CB631F" w:rsidP="003D6D21" w14:paraId="1E2E0C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322469" w:rsidRPr="00331AD2" w:rsidP="00331AD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31AD2">
        <w:rPr>
          <w:b/>
          <w:color w:val="000000" w:themeColor="text1"/>
          <w:sz w:val="24"/>
          <w:szCs w:val="24"/>
        </w:rPr>
        <w:t>RELATÓRIO</w:t>
      </w:r>
    </w:p>
    <w:p w:rsidR="00CB631F" w:rsidRPr="00331AD2" w:rsidP="00331AD2" w14:paraId="27E1D8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106453" w:rsidP="00106453" w14:paraId="052508B3" w14:textId="540B785D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106453">
        <w:rPr>
          <w:rStyle w:val="Strong"/>
          <w:color w:val="000000" w:themeColor="text1"/>
        </w:rPr>
        <w:t>PRO</w:t>
      </w:r>
      <w:r w:rsidRPr="00106453" w:rsidR="00BA6C13">
        <w:rPr>
          <w:rStyle w:val="Strong"/>
          <w:color w:val="000000" w:themeColor="text1"/>
        </w:rPr>
        <w:t xml:space="preserve">JETO DE </w:t>
      </w:r>
      <w:r w:rsidRPr="00106453" w:rsidR="00FB2327">
        <w:rPr>
          <w:rStyle w:val="Strong"/>
          <w:color w:val="000000" w:themeColor="text1"/>
        </w:rPr>
        <w:t>LEI</w:t>
      </w:r>
      <w:r w:rsidRPr="00106453" w:rsidR="00EA3CD8">
        <w:rPr>
          <w:rStyle w:val="Strong"/>
          <w:color w:val="000000" w:themeColor="text1"/>
        </w:rPr>
        <w:t xml:space="preserve"> </w:t>
      </w:r>
      <w:r w:rsidRPr="00106453" w:rsidR="001B1852">
        <w:rPr>
          <w:rStyle w:val="Strong"/>
          <w:color w:val="000000" w:themeColor="text1"/>
        </w:rPr>
        <w:t>COMPLEMENTAR Nº 11</w:t>
      </w:r>
      <w:r w:rsidRPr="00106453" w:rsidR="00F74441">
        <w:rPr>
          <w:rStyle w:val="Strong"/>
          <w:color w:val="000000" w:themeColor="text1"/>
        </w:rPr>
        <w:t xml:space="preserve"> DE 2025</w:t>
      </w:r>
    </w:p>
    <w:p w:rsidR="00F74441" w:rsidRPr="00106453" w:rsidP="00106453" w14:paraId="4DE9CBF8" w14:textId="3802D09A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106453">
        <w:rPr>
          <w:rStyle w:val="Emphasis"/>
          <w:color w:val="000000" w:themeColor="text1"/>
        </w:rPr>
        <w:t>“</w:t>
      </w:r>
      <w:r w:rsidRPr="00106453" w:rsidR="001B1852">
        <w:rPr>
          <w:rStyle w:val="Emphasis"/>
          <w:color w:val="000000" w:themeColor="text1"/>
        </w:rPr>
        <w:t xml:space="preserve">ALTERA DISPOSITIVOS DA LEI COMPLEMENTAR MUNICIPAL Nº363, DE 1ºDE </w:t>
      </w:r>
      <w:r w:rsidRPr="00106453" w:rsidR="001B1852">
        <w:rPr>
          <w:rStyle w:val="Emphasis"/>
          <w:color w:val="000000" w:themeColor="text1"/>
        </w:rPr>
        <w:t>JUNHO</w:t>
      </w:r>
      <w:r w:rsidRPr="00106453" w:rsidR="001B1852">
        <w:rPr>
          <w:rStyle w:val="Emphasis"/>
          <w:color w:val="000000" w:themeColor="text1"/>
        </w:rPr>
        <w:t xml:space="preserve"> DE 2022, QUE DISPÕE SOBRE O PLANO DIRETOR DO</w:t>
      </w:r>
      <w:r w:rsidRPr="00106453" w:rsidR="00EA3CD8">
        <w:rPr>
          <w:rStyle w:val="Emphasis"/>
          <w:color w:val="000000" w:themeColor="text1"/>
        </w:rPr>
        <w:t xml:space="preserve"> MUNICÍPIO DE MOGI MIRIM </w:t>
      </w:r>
      <w:r w:rsidRPr="00106453">
        <w:rPr>
          <w:rStyle w:val="Emphasis"/>
          <w:color w:val="000000" w:themeColor="text1"/>
        </w:rPr>
        <w:t>E DÁ OUTRAS PROVIDÊNCIAS”</w:t>
      </w:r>
      <w:r w:rsidRPr="00106453" w:rsidR="00FB2327">
        <w:rPr>
          <w:rStyle w:val="Emphasis"/>
          <w:color w:val="000000" w:themeColor="text1"/>
        </w:rPr>
        <w:t>.</w:t>
      </w:r>
    </w:p>
    <w:p w:rsidR="00CB631F" w:rsidRPr="00106453" w:rsidP="00106453" w14:paraId="6098959F" w14:textId="77777777">
      <w:pPr>
        <w:pStyle w:val="NormalWeb"/>
        <w:spacing w:line="360" w:lineRule="auto"/>
        <w:rPr>
          <w:color w:val="000000" w:themeColor="text1"/>
        </w:rPr>
      </w:pPr>
      <w:r w:rsidRPr="00106453">
        <w:rPr>
          <w:rStyle w:val="Strong"/>
          <w:color w:val="000000" w:themeColor="text1"/>
        </w:rPr>
        <w:t xml:space="preserve">RELATOR: VEREADOR </w:t>
      </w:r>
      <w:r w:rsidRPr="00106453" w:rsidR="006F3969">
        <w:rPr>
          <w:rStyle w:val="Strong"/>
          <w:color w:val="000000" w:themeColor="text1"/>
        </w:rPr>
        <w:t>MANOEL EDUARDO PEREIRA DA CRUZ PALOMINO</w:t>
      </w:r>
    </w:p>
    <w:p w:rsidR="00F74441" w:rsidRPr="00106453" w:rsidP="00106453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106453" w:rsidP="00106453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106453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B631F" w:rsidRPr="00106453" w:rsidP="00106453" w14:paraId="549C454F" w14:textId="77777777">
      <w:pPr>
        <w:spacing w:line="360" w:lineRule="auto"/>
        <w:rPr>
          <w:sz w:val="24"/>
          <w:szCs w:val="24"/>
        </w:rPr>
      </w:pPr>
    </w:p>
    <w:p w:rsidR="00EA3CD8" w:rsidRPr="00106453" w:rsidP="00106453" w14:paraId="3E126D74" w14:textId="7FC63E2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06453">
        <w:rPr>
          <w:color w:val="000000" w:themeColor="text1"/>
          <w:sz w:val="24"/>
          <w:szCs w:val="24"/>
        </w:rPr>
        <w:tab/>
      </w:r>
      <w:r w:rsidRPr="00106453" w:rsidR="00FB2327">
        <w:rPr>
          <w:sz w:val="24"/>
          <w:szCs w:val="24"/>
        </w:rPr>
        <w:t xml:space="preserve">O </w:t>
      </w:r>
      <w:r w:rsidRPr="00106453">
        <w:rPr>
          <w:b/>
          <w:sz w:val="24"/>
          <w:szCs w:val="24"/>
        </w:rPr>
        <w:t>Projeto de Lei</w:t>
      </w:r>
      <w:r w:rsidRPr="00106453" w:rsidR="001B1852">
        <w:rPr>
          <w:b/>
          <w:sz w:val="24"/>
          <w:szCs w:val="24"/>
        </w:rPr>
        <w:t xml:space="preserve"> Complementar</w:t>
      </w:r>
      <w:r w:rsidRPr="00106453">
        <w:rPr>
          <w:b/>
          <w:sz w:val="24"/>
          <w:szCs w:val="24"/>
        </w:rPr>
        <w:t xml:space="preserve"> nº </w:t>
      </w:r>
      <w:r w:rsidRPr="00106453" w:rsidR="001B1852">
        <w:rPr>
          <w:b/>
          <w:sz w:val="24"/>
          <w:szCs w:val="24"/>
        </w:rPr>
        <w:t>11</w:t>
      </w:r>
      <w:r w:rsidRPr="00106453">
        <w:rPr>
          <w:b/>
          <w:sz w:val="24"/>
          <w:szCs w:val="24"/>
        </w:rPr>
        <w:t>/2025</w:t>
      </w:r>
      <w:r w:rsidRPr="00106453" w:rsidR="004E3A21">
        <w:rPr>
          <w:b/>
          <w:sz w:val="24"/>
          <w:szCs w:val="24"/>
        </w:rPr>
        <w:t>,</w:t>
      </w:r>
      <w:r w:rsidRPr="00106453" w:rsidR="004E3A21">
        <w:rPr>
          <w:sz w:val="24"/>
          <w:szCs w:val="24"/>
        </w:rPr>
        <w:t xml:space="preserve"> de autoria d</w:t>
      </w:r>
      <w:r w:rsidRPr="00106453">
        <w:rPr>
          <w:sz w:val="24"/>
          <w:szCs w:val="24"/>
        </w:rPr>
        <w:t>o</w:t>
      </w:r>
      <w:r w:rsidRPr="00106453" w:rsidR="001B1852">
        <w:rPr>
          <w:sz w:val="24"/>
          <w:szCs w:val="24"/>
        </w:rPr>
        <w:t>s</w:t>
      </w:r>
      <w:r w:rsidRPr="00106453" w:rsidR="004E3A21">
        <w:rPr>
          <w:sz w:val="24"/>
          <w:szCs w:val="24"/>
        </w:rPr>
        <w:t xml:space="preserve"> Vereador</w:t>
      </w:r>
      <w:r w:rsidRPr="00106453" w:rsidR="001B1852">
        <w:rPr>
          <w:sz w:val="24"/>
          <w:szCs w:val="24"/>
        </w:rPr>
        <w:t xml:space="preserve">es João Victor Coutinho Gasparini e Mara Cristina Choquetta, </w:t>
      </w:r>
      <w:r w:rsidRPr="00106453">
        <w:rPr>
          <w:rStyle w:val="titulo-principal"/>
          <w:sz w:val="24"/>
          <w:szCs w:val="24"/>
        </w:rPr>
        <w:t xml:space="preserve">tem por </w:t>
      </w:r>
      <w:r w:rsidRPr="00106453" w:rsidR="001B1852">
        <w:rPr>
          <w:rStyle w:val="titulo-principal"/>
          <w:sz w:val="24"/>
          <w:szCs w:val="24"/>
        </w:rPr>
        <w:t>objetivo alterar</w:t>
      </w:r>
      <w:r w:rsidRPr="00106453" w:rsidR="001B1852">
        <w:rPr>
          <w:sz w:val="24"/>
          <w:szCs w:val="24"/>
        </w:rPr>
        <w:t xml:space="preserve"> dispositivos da Lei Complementar nº 363/2022 (Plano Diretor), para reconhecer cumulativamente as zonas ZCO-1 e ZCO-2 como áreas de interesse turístico, cultural e de lazer, bem como introduzir remissão à ABNT NBR 10.151/2019 (avaliação de ruído).</w:t>
      </w:r>
    </w:p>
    <w:p w:rsidR="001B1852" w:rsidRPr="00106453" w:rsidP="00106453" w14:paraId="794C5665" w14:textId="77777777">
      <w:pPr>
        <w:pStyle w:val="NormalWeb"/>
        <w:spacing w:line="360" w:lineRule="auto"/>
        <w:jc w:val="both"/>
      </w:pPr>
      <w:r w:rsidRPr="00106453">
        <w:t xml:space="preserve">O projeto objetiva </w:t>
      </w:r>
      <w:r w:rsidRPr="00106453">
        <w:rPr>
          <w:rStyle w:val="Strong"/>
        </w:rPr>
        <w:t>incluir dois novos parágrafos nos artigos 107 e 108</w:t>
      </w:r>
      <w:r w:rsidRPr="00106453">
        <w:t xml:space="preserve"> do Plano Diretor:</w:t>
      </w:r>
    </w:p>
    <w:p w:rsidR="001B1852" w:rsidRPr="00106453" w:rsidP="00106453" w14:paraId="009B64F2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106453">
        <w:rPr>
          <w:rStyle w:val="Strong"/>
        </w:rPr>
        <w:t>Art. 107:</w:t>
      </w:r>
      <w:r w:rsidRPr="00106453">
        <w:t xml:space="preserve"> cria-se o §3º, estabelecendo que a </w:t>
      </w:r>
      <w:r w:rsidRPr="00106453">
        <w:rPr>
          <w:rStyle w:val="Strong"/>
        </w:rPr>
        <w:t>Zona Predominantemente Comercial 1 (ZCO-1)</w:t>
      </w:r>
      <w:r w:rsidRPr="00106453">
        <w:t xml:space="preserve"> será, cumulativamente, reconhecida como área de interesse turístico, cultural e de lazer, condicionando-se tal reconhecimento à observância dos parâmetros técnicos da </w:t>
      </w:r>
      <w:r w:rsidRPr="00106453">
        <w:rPr>
          <w:rStyle w:val="Strong"/>
        </w:rPr>
        <w:t>ABNT NBR 10.151/2019</w:t>
      </w:r>
      <w:r w:rsidRPr="00106453">
        <w:t>, que trata da avaliação de níveis de ruído em áreas habitadas.</w:t>
      </w:r>
    </w:p>
    <w:p w:rsidR="001B1852" w:rsidP="00106453" w14:paraId="647C3BF4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106453">
        <w:rPr>
          <w:rStyle w:val="Strong"/>
        </w:rPr>
        <w:t>Art. 108:</w:t>
      </w:r>
      <w:r w:rsidRPr="00106453">
        <w:t xml:space="preserve"> o atual parágrafo único é renumerado para §1º, e é acrescentado o §2º, dispondo que as </w:t>
      </w:r>
      <w:r w:rsidRPr="00106453">
        <w:rPr>
          <w:rStyle w:val="Strong"/>
        </w:rPr>
        <w:t>Zonas Predominantemente Comerciais 2 (ZCO-2)</w:t>
      </w:r>
      <w:r w:rsidRPr="00106453">
        <w:t xml:space="preserve"> também serão reconhecidas, cumulativamente, como áreas de interesse turístico, cultural e de lazer.</w:t>
      </w:r>
    </w:p>
    <w:p w:rsidR="00106453" w:rsidP="00106453" w14:paraId="693208AC" w14:textId="77777777">
      <w:pPr>
        <w:pStyle w:val="NormalWeb"/>
        <w:spacing w:line="360" w:lineRule="auto"/>
        <w:jc w:val="both"/>
      </w:pPr>
    </w:p>
    <w:p w:rsidR="00106453" w:rsidRPr="00106453" w:rsidP="00106453" w14:paraId="3F83A7B8" w14:textId="77777777">
      <w:pPr>
        <w:pStyle w:val="NormalWeb"/>
        <w:spacing w:line="360" w:lineRule="auto"/>
        <w:jc w:val="both"/>
      </w:pPr>
    </w:p>
    <w:p w:rsidR="001B1852" w:rsidRPr="00106453" w:rsidP="00106453" w14:paraId="0D14E7A5" w14:textId="77777777">
      <w:pPr>
        <w:pStyle w:val="NormalWeb"/>
        <w:spacing w:line="360" w:lineRule="auto"/>
        <w:jc w:val="both"/>
      </w:pPr>
      <w:r w:rsidRPr="00106453">
        <w:t xml:space="preserve">A Lei Complementar nº 363/2022 já disciplina os parâmetros urbanísticos aplicáveis às zonas ZCO-1 e ZCO-2, autorizando usos residenciais, comerciais, de serviços, institucionais e, em alguns casos, industriais. As alterações ora propostas </w:t>
      </w:r>
      <w:r w:rsidRPr="00106453">
        <w:rPr>
          <w:rStyle w:val="Strong"/>
        </w:rPr>
        <w:t>não modificam índices urbanísticos</w:t>
      </w:r>
      <w:r w:rsidRPr="00106453">
        <w:t xml:space="preserve">, coeficientes de aproveitamento, taxa de ocupação ou regras de gabarito/recuos. Trata-se de </w:t>
      </w:r>
      <w:r w:rsidRPr="00106453">
        <w:rPr>
          <w:rStyle w:val="Strong"/>
        </w:rPr>
        <w:t>requalificação normativa</w:t>
      </w:r>
      <w:r w:rsidRPr="00106453">
        <w:t xml:space="preserve"> da destinação dessas áreas, com enfoque em políticas de lazer, turismo e cultura, sem alterar a estrutura básica do zoneamento.</w:t>
      </w:r>
    </w:p>
    <w:p w:rsidR="001B1852" w:rsidRPr="00106453" w:rsidP="00106453" w14:paraId="1A7BCEBD" w14:textId="77777777">
      <w:pPr>
        <w:pStyle w:val="NormalWeb"/>
        <w:spacing w:line="360" w:lineRule="auto"/>
        <w:jc w:val="both"/>
      </w:pPr>
      <w:r w:rsidRPr="00106453">
        <w:t xml:space="preserve">A inclusão da referência à norma técnica da </w:t>
      </w:r>
      <w:r w:rsidRPr="00106453">
        <w:rPr>
          <w:rStyle w:val="Strong"/>
        </w:rPr>
        <w:t xml:space="preserve">ABNT NBR </w:t>
      </w:r>
      <w:r w:rsidRPr="00106453">
        <w:rPr>
          <w:rStyle w:val="Strong"/>
        </w:rPr>
        <w:t>10.151/2019</w:t>
      </w:r>
      <w:r w:rsidRPr="00106453">
        <w:t xml:space="preserve"> busca</w:t>
      </w:r>
      <w:r w:rsidRPr="00106453">
        <w:t xml:space="preserve"> assegurar o equilíbrio entre a vitalidade cultural e a proteção ao sossego público, fornecendo critério objetivo de controle de ruído. No caso das ZCO-2, ainda que a proposta não repita expressamente tal remissão, a norma técnica é de aplicação geral, vinculando todas as atividades sujeitas a impacto acústico.</w:t>
      </w:r>
    </w:p>
    <w:p w:rsidR="001B1852" w:rsidRPr="00106453" w:rsidP="00106453" w14:paraId="1AB6E727" w14:textId="77777777">
      <w:pPr>
        <w:pStyle w:val="NormalWeb"/>
        <w:spacing w:line="360" w:lineRule="auto"/>
        <w:jc w:val="both"/>
      </w:pPr>
      <w:r w:rsidRPr="00106453">
        <w:t>Por fim, a proposição contém cláusula de vigência simples (“Esta lei complementar entra em vigor na data de sua publicação”), em conformidade com a técnica legislativa e sem previsão de cláusula de revogação genérica — o que atende às boas práticas normativas.</w:t>
      </w:r>
    </w:p>
    <w:p w:rsidR="009064E3" w:rsidRPr="00106453" w:rsidP="00106453" w14:paraId="5C419EEB" w14:textId="77777777">
      <w:pPr>
        <w:pStyle w:val="NormalWeb"/>
        <w:spacing w:line="360" w:lineRule="auto"/>
        <w:jc w:val="both"/>
      </w:pPr>
    </w:p>
    <w:p w:rsidR="00F74441" w:rsidP="00106453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106453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106453" w:rsidRPr="00106453" w:rsidP="00106453" w14:paraId="21EC2D3B" w14:textId="77777777"/>
    <w:p w:rsidR="00F74441" w:rsidRPr="00106453" w:rsidP="00106453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106453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106453" w:rsidP="00106453" w14:paraId="470069E2" w14:textId="77777777">
      <w:pPr>
        <w:spacing w:line="360" w:lineRule="auto"/>
        <w:rPr>
          <w:sz w:val="24"/>
          <w:szCs w:val="24"/>
        </w:rPr>
      </w:pPr>
    </w:p>
    <w:p w:rsidR="001B1852" w:rsidRPr="00106453" w:rsidP="00106453" w14:paraId="04A59D0C" w14:textId="7C90022D">
      <w:pPr>
        <w:spacing w:line="360" w:lineRule="auto"/>
        <w:jc w:val="both"/>
        <w:rPr>
          <w:sz w:val="24"/>
          <w:szCs w:val="24"/>
        </w:rPr>
      </w:pPr>
      <w:r w:rsidRPr="00106453">
        <w:rPr>
          <w:sz w:val="24"/>
          <w:szCs w:val="24"/>
        </w:rPr>
        <w:t xml:space="preserve">O Projeto de Lei Complementar nº 11/2025 encontra respaldo no </w:t>
      </w:r>
      <w:r w:rsidRPr="00106453">
        <w:rPr>
          <w:rStyle w:val="Strong"/>
          <w:sz w:val="24"/>
          <w:szCs w:val="24"/>
        </w:rPr>
        <w:t>art. 30, incisos I e VIII, da Constituição Federal</w:t>
      </w:r>
      <w:r w:rsidRPr="00106453">
        <w:rPr>
          <w:sz w:val="24"/>
          <w:szCs w:val="24"/>
        </w:rPr>
        <w:t>, que assegura ao Município a competência para legislar sobre assuntos de interesse local e promover o adequado ordenamento territorial mediante planejamento e controle do uso, do parcelamento e da ocupação do solo urbano.</w:t>
      </w:r>
    </w:p>
    <w:p w:rsidR="001B1852" w:rsidP="00106453" w14:paraId="608676B3" w14:textId="77777777">
      <w:pPr>
        <w:pStyle w:val="NormalWeb"/>
        <w:spacing w:line="360" w:lineRule="auto"/>
      </w:pPr>
      <w:r w:rsidRPr="00106453">
        <w:t xml:space="preserve">A </w:t>
      </w:r>
      <w:r w:rsidRPr="00106453">
        <w:rPr>
          <w:rStyle w:val="Strong"/>
        </w:rPr>
        <w:t>Lei Orgânica do Município de Mogi Mirim</w:t>
      </w:r>
      <w:r w:rsidRPr="00106453">
        <w:t>, em seu art. 12, inciso XIII, igualmente confere ao Legislativo Municipal competência para dispor sobre zoneamento urbano, urbanismo e política de desenvolvimento local. Portanto, o objeto da proposição se insere claramente no âmbito da competência municipal.</w:t>
      </w:r>
    </w:p>
    <w:p w:rsidR="001B1852" w:rsidRPr="00106453" w:rsidP="00106453" w14:paraId="2184AAB7" w14:textId="77777777">
      <w:pPr>
        <w:pStyle w:val="NormalWeb"/>
        <w:spacing w:line="360" w:lineRule="auto"/>
        <w:jc w:val="both"/>
      </w:pPr>
      <w:r w:rsidRPr="00106453">
        <w:t xml:space="preserve">No tocante à iniciativa, verifica-se que não há previsão de iniciativa exclusiva do Executivo, tratando-se de matéria de </w:t>
      </w:r>
      <w:r w:rsidRPr="00106453">
        <w:rPr>
          <w:rStyle w:val="Strong"/>
        </w:rPr>
        <w:t>iniciativa concorrente</w:t>
      </w:r>
      <w:r w:rsidRPr="00106453">
        <w:t>, conforme já assentado em parecer da consultoria jurídica externa e em precedentes de controle de constitucionalidade. Assim, não há vício formal de iniciativa.</w:t>
      </w:r>
    </w:p>
    <w:p w:rsidR="001B1852" w:rsidRPr="00106453" w:rsidP="00106453" w14:paraId="7995E15B" w14:textId="77777777">
      <w:pPr>
        <w:pStyle w:val="NormalWeb"/>
        <w:spacing w:line="360" w:lineRule="auto"/>
        <w:jc w:val="both"/>
      </w:pPr>
      <w:r w:rsidRPr="00106453">
        <w:t xml:space="preserve">Quanto ao </w:t>
      </w:r>
      <w:r w:rsidRPr="00106453">
        <w:rPr>
          <w:rStyle w:val="Strong"/>
        </w:rPr>
        <w:t>instrumento normativo</w:t>
      </w:r>
      <w:r w:rsidRPr="00106453">
        <w:t>, a alteração de dispositivos do Plano Diretor deve ser realizada por lei complementar, como de fato ocorreu, em estrita observância à exigência prevista tanto na Constituição Federal quanto na Lei Orgânica Municipal.</w:t>
      </w:r>
    </w:p>
    <w:p w:rsidR="001B1852" w:rsidRPr="00106453" w:rsidP="00106453" w14:paraId="05F346B7" w14:textId="77777777">
      <w:pPr>
        <w:pStyle w:val="NormalWeb"/>
        <w:spacing w:line="360" w:lineRule="auto"/>
        <w:jc w:val="both"/>
      </w:pPr>
      <w:r w:rsidRPr="00106453">
        <w:t xml:space="preserve">Por fim, a proposição observa a técnica legislativa: identifica com clareza os dispositivos a serem modificados; promove a renumeração adequada do parágrafo único do art. 108 para §1º; e contém cláusula de vigência simples, sem cláusula genérica de revogação, em conformidade com as diretrizes da </w:t>
      </w:r>
      <w:r w:rsidRPr="00106453">
        <w:rPr>
          <w:rStyle w:val="Strong"/>
        </w:rPr>
        <w:t>Lei Complementar nº 95/1998</w:t>
      </w:r>
      <w:r w:rsidRPr="00106453">
        <w:t>, aplicada subsidiariamente.</w:t>
      </w:r>
    </w:p>
    <w:p w:rsidR="001B1852" w:rsidRPr="00106453" w:rsidP="00106453" w14:paraId="60EC8843" w14:textId="77777777">
      <w:pPr>
        <w:pStyle w:val="NormalWeb"/>
        <w:spacing w:line="360" w:lineRule="auto"/>
        <w:jc w:val="both"/>
      </w:pPr>
      <w:r w:rsidRPr="00106453">
        <w:t xml:space="preserve">Assim, conclui-se que o projeto </w:t>
      </w:r>
      <w:r w:rsidRPr="00106453">
        <w:rPr>
          <w:rStyle w:val="Strong"/>
        </w:rPr>
        <w:t>não apresenta vícios de constitucionalidade, legalidade ou juridicidade</w:t>
      </w:r>
      <w:r w:rsidRPr="00106453">
        <w:t>, estando apto a prosseguir em sua tramitação.</w:t>
      </w:r>
    </w:p>
    <w:p w:rsidR="009064E3" w:rsidRPr="00106453" w:rsidP="00106453" w14:paraId="44AC7D6B" w14:textId="77777777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</w:p>
    <w:p w:rsidR="00F74441" w:rsidRPr="00106453" w:rsidP="00106453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106453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106453" w:rsidRPr="00106453" w:rsidP="00106453" w14:paraId="21A3681C" w14:textId="288A08D0">
      <w:pPr>
        <w:pStyle w:val="NormalWeb"/>
        <w:spacing w:line="360" w:lineRule="auto"/>
        <w:jc w:val="both"/>
      </w:pPr>
      <w:r w:rsidRPr="00106453">
        <w:t xml:space="preserve">Sob a perspectiva da conveniência, a proposta atende ao interesse público ao </w:t>
      </w:r>
      <w:r w:rsidRPr="00106453">
        <w:rPr>
          <w:rStyle w:val="Strong"/>
        </w:rPr>
        <w:t>valorizar áreas consolidadas de comércio (ZCO-1 e ZCO-2)</w:t>
      </w:r>
      <w:r w:rsidRPr="00106453">
        <w:t xml:space="preserve"> como polos de turismo, cultura e lazer. Trata-se de medida que reforça diretrizes de </w:t>
      </w:r>
      <w:r w:rsidRPr="00106453">
        <w:rPr>
          <w:rStyle w:val="Strong"/>
        </w:rPr>
        <w:t>cidade viva</w:t>
      </w:r>
      <w:r w:rsidRPr="00106453">
        <w:t>, promovendo o uso misto do solo e incentivando a ocupação qualificada de espaços já dotados de infraestrutura urbana.</w:t>
      </w:r>
    </w:p>
    <w:p w:rsidR="00106453" w:rsidRPr="00106453" w:rsidP="00106453" w14:paraId="14DDBAC3" w14:textId="77777777">
      <w:pPr>
        <w:pStyle w:val="NormalWeb"/>
        <w:spacing w:line="360" w:lineRule="auto"/>
        <w:jc w:val="both"/>
      </w:pPr>
      <w:r w:rsidRPr="00106453">
        <w:t xml:space="preserve">Do ponto de vista da oportunidade, a inclusão da referência à </w:t>
      </w:r>
      <w:r w:rsidRPr="00106453">
        <w:rPr>
          <w:rStyle w:val="Strong"/>
        </w:rPr>
        <w:t>ABNT NBR 10.151/2019</w:t>
      </w:r>
      <w:r w:rsidRPr="00106453">
        <w:t xml:space="preserve"> no §3º do art. 107 é relevante, pois estabelece </w:t>
      </w:r>
      <w:r w:rsidRPr="00106453">
        <w:rPr>
          <w:rStyle w:val="Strong"/>
        </w:rPr>
        <w:t>critérios técnicos objetivos</w:t>
      </w:r>
      <w:r w:rsidRPr="00106453">
        <w:t xml:space="preserve"> de controle de ruído, assegurando equilíbrio entre atividades culturais e o direito ao sossego dos moradores. Ainda que o §2º do art. 108 não repita expressamente tal remissão, a norma técnica é de aplicação geral, vinculando todas as atividades que possam impactar acusticamente o ambiente urbano.</w:t>
      </w:r>
    </w:p>
    <w:p w:rsidR="00106453" w:rsidRPr="00106453" w:rsidP="00106453" w14:paraId="19529459" w14:textId="77777777">
      <w:pPr>
        <w:pStyle w:val="NormalWeb"/>
        <w:spacing w:line="360" w:lineRule="auto"/>
        <w:jc w:val="both"/>
      </w:pPr>
      <w:r w:rsidRPr="00106453">
        <w:t>Outro aspecto positivo é que a medida não altera parâmetros urbanísticos sensíveis (índices de aproveitamento, gabarito, recuos, taxa de ocupação), preservando a coerência com o Plano Diretor vigente. Ao mesmo tempo, fomenta a dinamização econômica e social em áreas comerciais, sem abrir margem a distorções de uso do solo.</w:t>
      </w:r>
    </w:p>
    <w:p w:rsidR="00106453" w:rsidRPr="00106453" w:rsidP="00106453" w14:paraId="1011D514" w14:textId="77777777">
      <w:pPr>
        <w:pStyle w:val="NormalWeb"/>
        <w:spacing w:line="360" w:lineRule="auto"/>
        <w:jc w:val="both"/>
      </w:pPr>
      <w:r w:rsidRPr="00106453">
        <w:t xml:space="preserve">No que se refere ao impacto financeiro, a proposição </w:t>
      </w:r>
      <w:r w:rsidRPr="00106453">
        <w:rPr>
          <w:rStyle w:val="Strong"/>
        </w:rPr>
        <w:t>não cria despesa obrigatória</w:t>
      </w:r>
      <w:r w:rsidRPr="00106453">
        <w:t>. Eventuais custos relacionados à implementação ou fiscalização decorrem da atividade ordinária da administração municipal, não configurando nova obrigação orçamentária. Cabe à Comissão de Finanças, em momento oportuno, examinar a suficiência das dotações disponíveis, mas do ponto de vista jurídico e de mérito legislativo, não há impedimentos.</w:t>
      </w:r>
    </w:p>
    <w:p w:rsidR="00106453" w:rsidRPr="00106453" w:rsidP="00106453" w14:paraId="17282354" w14:textId="77777777">
      <w:pPr>
        <w:pStyle w:val="NormalWeb"/>
        <w:spacing w:line="360" w:lineRule="auto"/>
        <w:jc w:val="both"/>
      </w:pPr>
      <w:r w:rsidRPr="00106453">
        <w:t xml:space="preserve">Conclui-se, assim, que a proposta é </w:t>
      </w:r>
      <w:r w:rsidRPr="00106453">
        <w:rPr>
          <w:rStyle w:val="Strong"/>
        </w:rPr>
        <w:t>oportuna e conveniente</w:t>
      </w:r>
      <w:r w:rsidRPr="00106453">
        <w:t>, pois fortalece a vocação turística e cultural do Município, agrega parâmetros técnicos de proteção ambiental e mantém a harmonia com os instrumentos urbanísticos vigentes.</w:t>
      </w:r>
    </w:p>
    <w:p w:rsidR="00F74441" w:rsidRPr="00106453" w:rsidP="00106453" w14:paraId="68542A3A" w14:textId="5F322431">
      <w:pPr>
        <w:spacing w:before="100" w:beforeAutospacing="1" w:after="100" w:afterAutospacing="1" w:line="360" w:lineRule="auto"/>
        <w:jc w:val="both"/>
        <w:rPr>
          <w:color w:val="000000" w:themeColor="text1"/>
          <w:sz w:val="24"/>
          <w:szCs w:val="24"/>
        </w:rPr>
      </w:pPr>
      <w:r w:rsidRPr="00106453">
        <w:rPr>
          <w:sz w:val="24"/>
          <w:szCs w:val="24"/>
        </w:rPr>
        <w:br/>
      </w:r>
      <w:r w:rsidRPr="00106453">
        <w:rPr>
          <w:rStyle w:val="Strong"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867454" w:rsidRPr="00106453" w:rsidP="00106453" w14:paraId="30ABAA07" w14:textId="335FC5E8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106453">
        <w:rPr>
          <w:color w:val="000000" w:themeColor="text1"/>
          <w:sz w:val="24"/>
          <w:szCs w:val="24"/>
        </w:rPr>
        <w:tab/>
      </w:r>
      <w:r w:rsidRPr="00106453" w:rsidR="00106453">
        <w:rPr>
          <w:sz w:val="24"/>
          <w:szCs w:val="24"/>
        </w:rPr>
        <w:t xml:space="preserve">Após análise técnica e jurídica, </w:t>
      </w:r>
      <w:r w:rsidRPr="00106453" w:rsidR="00106453">
        <w:rPr>
          <w:rStyle w:val="Strong"/>
          <w:sz w:val="24"/>
          <w:szCs w:val="24"/>
        </w:rPr>
        <w:t>NÃO se identificam emendas necessárias.</w:t>
      </w:r>
      <w:r w:rsidRPr="00106453" w:rsidR="00106453">
        <w:rPr>
          <w:sz w:val="24"/>
          <w:szCs w:val="24"/>
        </w:rPr>
        <w:br/>
        <w:t>A redação é clara, objetiva e adequada à técnica legislativa.</w:t>
      </w:r>
    </w:p>
    <w:p w:rsidR="00F74441" w:rsidRPr="00106453" w:rsidP="00106453" w14:paraId="0089363A" w14:textId="3B5447CC">
      <w:pPr>
        <w:pStyle w:val="NormalWeb"/>
        <w:spacing w:line="360" w:lineRule="auto"/>
        <w:jc w:val="both"/>
        <w:rPr>
          <w:color w:val="000000" w:themeColor="text1"/>
        </w:rPr>
      </w:pPr>
      <w:r w:rsidRPr="00106453">
        <w:rPr>
          <w:rStyle w:val="Strong"/>
          <w:bCs w:val="0"/>
          <w:color w:val="000000" w:themeColor="text1"/>
        </w:rPr>
        <w:t>IV - DECISÃO DA RELATORIA</w:t>
      </w:r>
    </w:p>
    <w:p w:rsidR="00106453" w:rsidRPr="00106453" w:rsidP="00106453" w14:paraId="79A337FA" w14:textId="77777777">
      <w:pPr>
        <w:spacing w:line="360" w:lineRule="auto"/>
        <w:jc w:val="both"/>
        <w:rPr>
          <w:sz w:val="24"/>
          <w:szCs w:val="24"/>
        </w:rPr>
      </w:pPr>
      <w:r w:rsidRPr="00106453">
        <w:rPr>
          <w:color w:val="000000" w:themeColor="text1"/>
          <w:sz w:val="24"/>
          <w:szCs w:val="24"/>
        </w:rPr>
        <w:tab/>
      </w:r>
      <w:r w:rsidRPr="00106453" w:rsidR="00E73852">
        <w:rPr>
          <w:sz w:val="24"/>
          <w:szCs w:val="24"/>
        </w:rPr>
        <w:t xml:space="preserve"> </w:t>
      </w:r>
      <w:r w:rsidRPr="00106453">
        <w:rPr>
          <w:sz w:val="24"/>
          <w:szCs w:val="24"/>
        </w:rPr>
        <w:t xml:space="preserve">À vista do exposto, </w:t>
      </w:r>
      <w:r w:rsidRPr="00106453">
        <w:rPr>
          <w:b/>
          <w:sz w:val="24"/>
          <w:szCs w:val="24"/>
        </w:rPr>
        <w:t>OPINO FAVORAVELMENTE</w:t>
      </w:r>
      <w:r w:rsidRPr="00106453">
        <w:rPr>
          <w:sz w:val="24"/>
          <w:szCs w:val="24"/>
        </w:rPr>
        <w:t xml:space="preserve"> à aprovação do Projeto de Lei Complementar nº 11/2025, sem necessidade de emendas.</w:t>
      </w:r>
    </w:p>
    <w:p w:rsidR="00106453" w:rsidRPr="00106453" w:rsidP="00106453" w14:paraId="044F7C09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106453" w:rsidP="00106453" w14:paraId="6AB168D8" w14:textId="5FE7B396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106453">
        <w:rPr>
          <w:rStyle w:val="Strong"/>
          <w:color w:val="000000" w:themeColor="text1"/>
          <w:sz w:val="24"/>
          <w:szCs w:val="24"/>
        </w:rPr>
        <w:t>SALA DAS SESSÕES</w:t>
      </w:r>
      <w:r w:rsidRPr="00106453" w:rsidR="00106453">
        <w:rPr>
          <w:rStyle w:val="Strong"/>
          <w:color w:val="000000" w:themeColor="text1"/>
          <w:sz w:val="24"/>
          <w:szCs w:val="24"/>
        </w:rPr>
        <w:t xml:space="preserve"> “VEREADOR SANTO RÓTTOLI”, em 16</w:t>
      </w:r>
      <w:r w:rsidRPr="00106453">
        <w:rPr>
          <w:rStyle w:val="Strong"/>
          <w:color w:val="000000" w:themeColor="text1"/>
          <w:sz w:val="24"/>
          <w:szCs w:val="24"/>
        </w:rPr>
        <w:t xml:space="preserve"> de </w:t>
      </w:r>
      <w:r w:rsidRPr="00106453" w:rsidR="005D038D">
        <w:rPr>
          <w:rStyle w:val="Strong"/>
          <w:color w:val="000000" w:themeColor="text1"/>
          <w:sz w:val="24"/>
          <w:szCs w:val="24"/>
        </w:rPr>
        <w:t>setembro</w:t>
      </w:r>
      <w:r w:rsidRPr="00106453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F74441" w:rsidRPr="00106453" w:rsidP="00106453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106453">
        <w:rPr>
          <w:bCs/>
          <w:i/>
          <w:color w:val="000000" w:themeColor="text1"/>
          <w:sz w:val="24"/>
          <w:szCs w:val="24"/>
        </w:rPr>
        <w:t>(</w:t>
      </w:r>
      <w:r w:rsidRPr="00106453">
        <w:rPr>
          <w:bCs/>
          <w:i/>
          <w:color w:val="000000" w:themeColor="text1"/>
          <w:sz w:val="24"/>
          <w:szCs w:val="24"/>
        </w:rPr>
        <w:t>assinado</w:t>
      </w:r>
      <w:r w:rsidRPr="00106453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106453" w:rsidP="00106453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106453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106453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106453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106453" w:rsidP="00106453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106453">
        <w:rPr>
          <w:color w:val="000000" w:themeColor="text1"/>
          <w:sz w:val="24"/>
          <w:szCs w:val="24"/>
        </w:rPr>
        <w:t>Relator</w:t>
      </w:r>
    </w:p>
    <w:p w:rsidR="00CB631F" w:rsidRPr="00106453" w:rsidP="00106453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106453" w:rsidP="00106453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CC2167" w:rsidP="00106453" w14:paraId="010DA84F" w14:textId="77777777">
      <w:pPr>
        <w:pStyle w:val="Heading3"/>
        <w:spacing w:line="360" w:lineRule="auto"/>
        <w:jc w:val="both"/>
        <w:rPr>
          <w:color w:val="000000" w:themeColor="text1"/>
          <w:sz w:val="22"/>
          <w:szCs w:val="22"/>
        </w:rPr>
      </w:pPr>
      <w:r w:rsidRPr="00CC2167">
        <w:rPr>
          <w:rStyle w:val="Strong"/>
          <w:b/>
          <w:bCs w:val="0"/>
          <w:color w:val="000000" w:themeColor="text1"/>
          <w:sz w:val="22"/>
          <w:szCs w:val="22"/>
        </w:rPr>
        <w:t>REFERÊNCIAS:</w:t>
      </w:r>
    </w:p>
    <w:p w:rsidR="00106453" w:rsidRPr="00CC2167" w:rsidP="00106453" w14:paraId="00823AE2" w14:textId="1BC2FAF4">
      <w:pPr>
        <w:pStyle w:val="NormalWeb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CC2167">
        <w:rPr>
          <w:sz w:val="22"/>
          <w:szCs w:val="22"/>
        </w:rPr>
        <w:t>Projeto de Lei Complementar nº 11/2025 (texto e justificativa).</w:t>
      </w:r>
    </w:p>
    <w:p w:rsidR="00106453" w:rsidRPr="00CC2167" w:rsidP="00106453" w14:paraId="1F199F4F" w14:textId="23C50E09">
      <w:pPr>
        <w:pStyle w:val="NormalWeb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CC2167">
        <w:rPr>
          <w:sz w:val="22"/>
          <w:szCs w:val="22"/>
        </w:rPr>
        <w:t>Lei Complementar nº 363/2022 (Plano Diretor do Município de Mogi Mirim).</w:t>
      </w:r>
    </w:p>
    <w:p w:rsidR="00106453" w:rsidRPr="00CC2167" w:rsidP="00CC2167" w14:paraId="35015DD0" w14:textId="643AA129">
      <w:pPr>
        <w:pStyle w:val="NormalWeb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CC2167">
        <w:rPr>
          <w:sz w:val="22"/>
          <w:szCs w:val="22"/>
        </w:rPr>
        <w:t xml:space="preserve">Lei Orgânica do Município de Mogi Mirim (arts. </w:t>
      </w:r>
      <w:r w:rsidRPr="00CC2167">
        <w:rPr>
          <w:sz w:val="22"/>
          <w:szCs w:val="22"/>
        </w:rPr>
        <w:t>sobre</w:t>
      </w:r>
      <w:r w:rsidRPr="00CC2167">
        <w:rPr>
          <w:sz w:val="22"/>
          <w:szCs w:val="22"/>
        </w:rPr>
        <w:t xml:space="preserve"> Plano Diretor e política urbana).</w:t>
      </w:r>
    </w:p>
    <w:p w:rsidR="00106453" w:rsidRPr="00CC2167" w:rsidP="00CC2167" w14:paraId="1078B7D0" w14:textId="1032D596">
      <w:pPr>
        <w:pStyle w:val="NormalWeb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CC2167">
        <w:rPr>
          <w:sz w:val="22"/>
          <w:szCs w:val="22"/>
        </w:rPr>
        <w:t>Regimento Interno da Câmara Municipal – Resolução nº 276/2010.</w:t>
      </w:r>
    </w:p>
    <w:p w:rsidR="00331AD2" w:rsidRPr="00CC2167" w:rsidP="00363A91" w14:paraId="46FBC224" w14:textId="5F08309B">
      <w:pPr>
        <w:pStyle w:val="NormalWeb"/>
        <w:numPr>
          <w:ilvl w:val="0"/>
          <w:numId w:val="24"/>
        </w:numPr>
        <w:spacing w:before="0" w:beforeAutospacing="0" w:line="360" w:lineRule="auto"/>
        <w:jc w:val="both"/>
        <w:rPr>
          <w:color w:val="000000" w:themeColor="text1"/>
          <w:sz w:val="22"/>
          <w:szCs w:val="22"/>
        </w:rPr>
      </w:pPr>
      <w:r w:rsidRPr="00CC2167">
        <w:rPr>
          <w:sz w:val="22"/>
          <w:szCs w:val="22"/>
        </w:rPr>
        <w:t>Parecer da Consultoria Jurídica Externa – PLC nº 11/2025 (SGP).</w:t>
      </w:r>
    </w:p>
    <w:p w:rsidR="00631FD1" w:rsidRPr="00106453" w:rsidP="00106453" w14:paraId="63A22BE9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106453" w:rsidP="00106453" w14:paraId="106B8342" w14:textId="6C23B1EF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106453">
        <w:rPr>
          <w:b/>
          <w:color w:val="000000" w:themeColor="text1"/>
        </w:rPr>
        <w:t>PARECER FAVORÁVEL DA COMISSÃO DE JUSTIÇA E REDAÇÃO AO PROJETO DE LEI</w:t>
      </w:r>
      <w:r w:rsidR="00CC2167">
        <w:rPr>
          <w:b/>
          <w:color w:val="000000" w:themeColor="text1"/>
        </w:rPr>
        <w:t xml:space="preserve"> COMPLEMENTAR</w:t>
      </w:r>
      <w:r w:rsidRPr="00106453">
        <w:rPr>
          <w:b/>
          <w:color w:val="000000" w:themeColor="text1"/>
        </w:rPr>
        <w:t xml:space="preserve"> N° </w:t>
      </w:r>
      <w:r w:rsidR="00CC2167">
        <w:rPr>
          <w:b/>
          <w:color w:val="000000" w:themeColor="text1"/>
        </w:rPr>
        <w:t>11</w:t>
      </w:r>
      <w:r w:rsidRPr="00106453">
        <w:rPr>
          <w:b/>
          <w:color w:val="000000" w:themeColor="text1"/>
        </w:rPr>
        <w:t xml:space="preserve"> DE 2025 DE AUTORIA D</w:t>
      </w:r>
      <w:r w:rsidRPr="00106453" w:rsidR="00331AD2">
        <w:rPr>
          <w:b/>
          <w:color w:val="000000" w:themeColor="text1"/>
        </w:rPr>
        <w:t>O</w:t>
      </w:r>
      <w:r w:rsidR="00CC2167">
        <w:rPr>
          <w:b/>
          <w:color w:val="000000" w:themeColor="text1"/>
        </w:rPr>
        <w:t>S</w:t>
      </w:r>
      <w:r w:rsidRPr="00106453">
        <w:rPr>
          <w:b/>
          <w:color w:val="000000" w:themeColor="text1"/>
        </w:rPr>
        <w:t xml:space="preserve"> VEREADOR</w:t>
      </w:r>
      <w:r w:rsidR="00CC2167">
        <w:rPr>
          <w:b/>
          <w:color w:val="000000" w:themeColor="text1"/>
        </w:rPr>
        <w:t>ES JOÃO VICTOR COUTINHO GASPARINI E MARA CRISTINA CHOQUETTA</w:t>
      </w:r>
      <w:r w:rsidRPr="00106453">
        <w:rPr>
          <w:b/>
          <w:color w:val="000000" w:themeColor="text1"/>
        </w:rPr>
        <w:t>.</w:t>
      </w:r>
    </w:p>
    <w:p w:rsidR="00CB631F" w:rsidRPr="00106453" w:rsidP="00106453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  <w:bookmarkStart w:id="0" w:name="_GoBack"/>
      <w:bookmarkEnd w:id="0"/>
    </w:p>
    <w:p w:rsidR="00CB631F" w:rsidRPr="00106453" w:rsidP="00106453" w14:paraId="07973BF2" w14:textId="0EEBF97D">
      <w:pPr>
        <w:pStyle w:val="NormalWeb"/>
        <w:spacing w:line="360" w:lineRule="auto"/>
        <w:jc w:val="both"/>
      </w:pPr>
      <w:r w:rsidRPr="00106453">
        <w:rPr>
          <w:color w:val="000000" w:themeColor="text1"/>
        </w:rPr>
        <w:tab/>
      </w:r>
      <w:r w:rsidRPr="00106453" w:rsidR="00B30455">
        <w:rPr>
          <w:color w:val="000000" w:themeColor="text1"/>
        </w:rPr>
        <w:t>N</w:t>
      </w:r>
      <w:r w:rsidRPr="00106453" w:rsidR="005D038D">
        <w:t>os termos do</w:t>
      </w:r>
      <w:r w:rsidRPr="00106453">
        <w:t xml:space="preserve"> artigo 35 da Resolução nº 276, de 09 de novembro de 2010, e </w:t>
      </w:r>
      <w:r w:rsidRPr="00106453" w:rsidR="00B30455">
        <w:t xml:space="preserve">acompanhando o voto do Relator, </w:t>
      </w:r>
      <w:r w:rsidRPr="00106453">
        <w:rPr>
          <w:bCs/>
        </w:rPr>
        <w:t>manifestam-se pela legalidade, constitucionalidade, e mérito d</w:t>
      </w:r>
      <w:r w:rsidRPr="00106453" w:rsidR="00B30455">
        <w:rPr>
          <w:bCs/>
        </w:rPr>
        <w:t xml:space="preserve">o </w:t>
      </w:r>
      <w:r w:rsidRPr="00106453" w:rsidR="00331AD2">
        <w:rPr>
          <w:b/>
          <w:bCs/>
        </w:rPr>
        <w:t xml:space="preserve">Projeto de Lei </w:t>
      </w:r>
      <w:r w:rsidR="00CC2167">
        <w:rPr>
          <w:b/>
          <w:bCs/>
        </w:rPr>
        <w:t xml:space="preserve">Complementar </w:t>
      </w:r>
      <w:r w:rsidRPr="00106453" w:rsidR="00331AD2">
        <w:rPr>
          <w:b/>
          <w:bCs/>
        </w:rPr>
        <w:t xml:space="preserve">nº </w:t>
      </w:r>
      <w:r w:rsidR="00CC2167">
        <w:rPr>
          <w:b/>
          <w:bCs/>
        </w:rPr>
        <w:t>11</w:t>
      </w:r>
      <w:r w:rsidRPr="00106453" w:rsidR="00B30455">
        <w:rPr>
          <w:b/>
          <w:bCs/>
        </w:rPr>
        <w:t xml:space="preserve"> de 2025</w:t>
      </w:r>
      <w:r w:rsidRPr="00106453" w:rsidR="00B30455">
        <w:rPr>
          <w:bCs/>
        </w:rPr>
        <w:t xml:space="preserve">, recomendando-se sua </w:t>
      </w:r>
      <w:r w:rsidRPr="00106453">
        <w:rPr>
          <w:bCs/>
        </w:rPr>
        <w:t>aprovação</w:t>
      </w:r>
      <w:r w:rsidRPr="00106453" w:rsidR="00B30455">
        <w:rPr>
          <w:bCs/>
        </w:rPr>
        <w:t>.</w:t>
      </w:r>
    </w:p>
    <w:p w:rsidR="00CB631F" w:rsidRPr="00106453" w:rsidP="00106453" w14:paraId="4FE36989" w14:textId="2A3EB90D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16</w:t>
      </w:r>
      <w:r w:rsidRPr="00106453">
        <w:rPr>
          <w:sz w:val="24"/>
          <w:szCs w:val="24"/>
        </w:rPr>
        <w:t xml:space="preserve"> de </w:t>
      </w:r>
      <w:r w:rsidRPr="00106453" w:rsidR="005D038D">
        <w:rPr>
          <w:sz w:val="24"/>
          <w:szCs w:val="24"/>
        </w:rPr>
        <w:t>setembro</w:t>
      </w:r>
      <w:r w:rsidRPr="00106453">
        <w:rPr>
          <w:sz w:val="24"/>
          <w:szCs w:val="24"/>
        </w:rPr>
        <w:t xml:space="preserve"> de 2025.</w:t>
      </w:r>
    </w:p>
    <w:p w:rsidR="00CB631F" w:rsidRPr="00106453" w:rsidP="00106453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106453" w:rsidP="00106453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106453" w:rsidP="00106453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106453" w:rsidP="00106453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106453" w:rsidP="00106453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106453" w:rsidP="00106453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106453" w:rsidP="00106453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106453" w:rsidP="00106453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106453" w:rsidP="00106453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106453" w:rsidP="00106453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06453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106453" w:rsidP="00106453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92C7A"/>
    <w:multiLevelType w:val="hybridMultilevel"/>
    <w:tmpl w:val="1584C378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473E9"/>
    <w:multiLevelType w:val="multilevel"/>
    <w:tmpl w:val="177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0"/>
  </w:num>
  <w:num w:numId="5">
    <w:abstractNumId w:val="21"/>
  </w:num>
  <w:num w:numId="6">
    <w:abstractNumId w:val="23"/>
  </w:num>
  <w:num w:numId="7">
    <w:abstractNumId w:val="4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1"/>
  </w:num>
  <w:num w:numId="14">
    <w:abstractNumId w:val="3"/>
  </w:num>
  <w:num w:numId="15">
    <w:abstractNumId w:val="16"/>
  </w:num>
  <w:num w:numId="16">
    <w:abstractNumId w:val="14"/>
  </w:num>
  <w:num w:numId="17">
    <w:abstractNumId w:val="0"/>
  </w:num>
  <w:num w:numId="18">
    <w:abstractNumId w:val="5"/>
  </w:num>
  <w:num w:numId="19">
    <w:abstractNumId w:val="11"/>
  </w:num>
  <w:num w:numId="20">
    <w:abstractNumId w:val="20"/>
  </w:num>
  <w:num w:numId="21">
    <w:abstractNumId w:val="17"/>
  </w:num>
  <w:num w:numId="22">
    <w:abstractNumId w:val="22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06453"/>
    <w:rsid w:val="00126AE5"/>
    <w:rsid w:val="0015590E"/>
    <w:rsid w:val="00181506"/>
    <w:rsid w:val="00187FC6"/>
    <w:rsid w:val="00192536"/>
    <w:rsid w:val="001A3CE4"/>
    <w:rsid w:val="001B1852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63A91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2A54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2167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14569"/>
    <w:rsid w:val="00E3543A"/>
    <w:rsid w:val="00E45995"/>
    <w:rsid w:val="00E57668"/>
    <w:rsid w:val="00E73852"/>
    <w:rsid w:val="00E7438B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2025-09-16T19:39:00Z</dcterms:created>
  <dcterms:modified xsi:type="dcterms:W3CDTF">2025-09-16T19:39:00Z</dcterms:modified>
</cp:coreProperties>
</file>