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966576">
        <w:rPr>
          <w:rFonts w:asciiTheme="majorHAnsi" w:hAnsiTheme="majorHAnsi" w:cstheme="majorHAnsi"/>
          <w:b/>
          <w:color w:val="000000"/>
          <w:sz w:val="24"/>
          <w:szCs w:val="24"/>
        </w:rPr>
        <w:t xml:space="preserve"> ao Projeto de Lei Nº 63</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966576">
        <w:rPr>
          <w:rFonts w:asciiTheme="majorHAnsi" w:hAnsiTheme="majorHAnsi" w:cstheme="majorHAnsi"/>
          <w:b/>
          <w:color w:val="000000"/>
          <w:sz w:val="24"/>
          <w:szCs w:val="24"/>
        </w:rPr>
        <w:t>º 103</w:t>
      </w:r>
      <w:r w:rsidRPr="00D677F3">
        <w:rPr>
          <w:rFonts w:asciiTheme="majorHAnsi" w:hAnsiTheme="majorHAnsi" w:cstheme="majorHAnsi"/>
          <w:b/>
          <w:color w:val="000000"/>
          <w:sz w:val="24"/>
          <w:szCs w:val="24"/>
        </w:rPr>
        <w:t>/2025</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966576">
        <w:rPr>
          <w:rFonts w:asciiTheme="majorHAnsi" w:hAnsiTheme="majorHAnsi" w:cstheme="majorHAnsi"/>
          <w:sz w:val="24"/>
          <w:szCs w:val="24"/>
        </w:rPr>
        <w:t>de Lei nº 63</w:t>
      </w:r>
      <w:r w:rsidR="002B5A45">
        <w:rPr>
          <w:rFonts w:asciiTheme="majorHAnsi" w:hAnsiTheme="majorHAnsi" w:cstheme="majorHAnsi"/>
          <w:sz w:val="24"/>
          <w:szCs w:val="24"/>
        </w:rPr>
        <w:t>/2025, de autoria do Exmo</w:t>
      </w:r>
      <w:r w:rsidRPr="00D677F3">
        <w:rPr>
          <w:rFonts w:asciiTheme="majorHAnsi" w:hAnsiTheme="majorHAnsi" w:cstheme="majorHAnsi"/>
          <w:sz w:val="24"/>
          <w:szCs w:val="24"/>
        </w:rPr>
        <w:t>. Vereador</w:t>
      </w:r>
      <w:r w:rsidR="00A52713">
        <w:rPr>
          <w:rFonts w:asciiTheme="majorHAnsi" w:hAnsiTheme="majorHAnsi" w:cstheme="majorHAnsi"/>
          <w:sz w:val="24"/>
          <w:szCs w:val="24"/>
        </w:rPr>
        <w:t xml:space="preserve"> </w:t>
      </w:r>
      <w:r w:rsidR="00966576">
        <w:rPr>
          <w:rFonts w:asciiTheme="majorHAnsi" w:hAnsiTheme="majorHAnsi" w:cstheme="majorHAnsi"/>
          <w:sz w:val="24"/>
          <w:szCs w:val="24"/>
        </w:rPr>
        <w:t xml:space="preserve">Cristiano </w:t>
      </w:r>
      <w:r w:rsidR="00966576">
        <w:rPr>
          <w:rFonts w:asciiTheme="majorHAnsi" w:hAnsiTheme="majorHAnsi" w:cstheme="majorHAnsi"/>
          <w:sz w:val="24"/>
          <w:szCs w:val="24"/>
        </w:rPr>
        <w:t>Gaioto</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D677F3" w:rsidRPr="00966576" w:rsidP="00A52713">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O Exmo</w:t>
      </w:r>
      <w:r w:rsidRPr="00D677F3" w:rsidR="004A4450">
        <w:rPr>
          <w:rFonts w:asciiTheme="majorHAnsi" w:hAnsiTheme="majorHAnsi" w:cstheme="majorHAnsi"/>
          <w:sz w:val="24"/>
          <w:szCs w:val="24"/>
        </w:rPr>
        <w:t xml:space="preserve">. Vereador </w:t>
      </w:r>
      <w:r w:rsidR="00966576">
        <w:rPr>
          <w:rFonts w:asciiTheme="majorHAnsi" w:hAnsiTheme="majorHAnsi" w:cstheme="majorHAnsi"/>
          <w:sz w:val="24"/>
          <w:szCs w:val="24"/>
        </w:rPr>
        <w:t xml:space="preserve">Cristiano </w:t>
      </w:r>
      <w:r w:rsidR="00966576">
        <w:rPr>
          <w:rFonts w:asciiTheme="majorHAnsi" w:hAnsiTheme="majorHAnsi" w:cstheme="majorHAnsi"/>
          <w:sz w:val="24"/>
          <w:szCs w:val="24"/>
        </w:rPr>
        <w:t>Gaioto</w:t>
      </w:r>
      <w:r>
        <w:rPr>
          <w:rFonts w:asciiTheme="majorHAnsi" w:hAnsiTheme="majorHAnsi" w:cstheme="majorHAnsi"/>
          <w:sz w:val="24"/>
          <w:szCs w:val="24"/>
        </w:rPr>
        <w:t xml:space="preserve"> protocolou</w:t>
      </w:r>
      <w:r w:rsidRPr="00D677F3" w:rsidR="00472595">
        <w:rPr>
          <w:rFonts w:asciiTheme="majorHAnsi" w:hAnsiTheme="majorHAnsi" w:cstheme="majorHAnsi"/>
          <w:sz w:val="24"/>
          <w:szCs w:val="24"/>
        </w:rPr>
        <w:t xml:space="preserve"> nesta Cas</w:t>
      </w:r>
      <w:r>
        <w:rPr>
          <w:rFonts w:asciiTheme="majorHAnsi" w:hAnsiTheme="majorHAnsi" w:cstheme="majorHAnsi"/>
          <w:sz w:val="24"/>
          <w:szCs w:val="24"/>
        </w:rPr>
        <w:t xml:space="preserve">a de Leis o </w:t>
      </w:r>
      <w:r w:rsidR="00966576">
        <w:rPr>
          <w:rFonts w:asciiTheme="majorHAnsi" w:hAnsiTheme="majorHAnsi" w:cstheme="majorHAnsi"/>
          <w:sz w:val="24"/>
          <w:szCs w:val="24"/>
        </w:rPr>
        <w:t>Projeto de Lei nº63</w:t>
      </w:r>
      <w:r>
        <w:rPr>
          <w:rFonts w:asciiTheme="majorHAnsi" w:hAnsiTheme="majorHAnsi" w:cstheme="majorHAnsi"/>
          <w:sz w:val="24"/>
          <w:szCs w:val="24"/>
        </w:rPr>
        <w:t>/2025, que</w:t>
      </w:r>
      <w:r w:rsidRPr="00A52713">
        <w:t xml:space="preserve"> </w:t>
      </w:r>
      <w:r w:rsidRPr="00966576" w:rsidR="00966576">
        <w:rPr>
          <w:rFonts w:asciiTheme="majorHAnsi" w:hAnsiTheme="majorHAnsi" w:cstheme="majorHAnsi"/>
          <w:b/>
          <w:i/>
          <w:sz w:val="24"/>
          <w:szCs w:val="24"/>
        </w:rPr>
        <w:t>“PROÍBE, NO ÂMBITO DO MUNICÍPIO DE MOGI MIRIM, A VEICULAÇÃO DE PUBLICIDADE, DIRETA OU INDIRETA, PROMOVIDA POR EMPRESAS QUE EXPLOREM APOSTAS ESPORTIVAS OU QUAISQUER MODALIDADES DE JOGOS DE AZAR ONLINE, E DÁ OUTRAS PROVIDÊNCIAS”.</w:t>
      </w:r>
    </w:p>
    <w:p w:rsidR="00C56DF7" w:rsidP="00C56DF7">
      <w:pPr>
        <w:spacing w:before="100" w:beforeAutospacing="1"/>
        <w:contextualSpacing/>
        <w:jc w:val="both"/>
        <w:rPr>
          <w:rFonts w:asciiTheme="majorHAnsi" w:hAnsiTheme="majorHAnsi" w:cstheme="majorHAnsi"/>
          <w:b/>
          <w:i/>
          <w:sz w:val="24"/>
          <w:szCs w:val="24"/>
        </w:rPr>
      </w:pPr>
    </w:p>
    <w:p w:rsidR="003D250F" w:rsidRPr="00F52EC1" w:rsidP="00C56DF7">
      <w:pPr>
        <w:spacing w:before="100" w:beforeAutospacing="1"/>
        <w:contextualSpacing/>
        <w:jc w:val="both"/>
        <w:rPr>
          <w:rFonts w:asciiTheme="majorHAnsi" w:hAnsiTheme="majorHAnsi" w:cstheme="majorHAnsi"/>
          <w:sz w:val="24"/>
          <w:szCs w:val="24"/>
        </w:rPr>
      </w:pPr>
      <w:r>
        <w:rPr>
          <w:rFonts w:asciiTheme="majorHAnsi" w:hAnsiTheme="majorHAnsi" w:cstheme="majorHAnsi"/>
          <w:sz w:val="24"/>
          <w:szCs w:val="24"/>
        </w:rPr>
        <w:t xml:space="preserve">  </w:t>
      </w:r>
      <w:r>
        <w:rPr>
          <w:rFonts w:asciiTheme="majorHAnsi" w:hAnsiTheme="majorHAnsi" w:cstheme="majorHAnsi"/>
          <w:sz w:val="24"/>
          <w:szCs w:val="24"/>
        </w:rPr>
        <w:tab/>
      </w:r>
      <w:r w:rsidRPr="003D250F">
        <w:rPr>
          <w:rFonts w:asciiTheme="majorHAnsi" w:hAnsiTheme="majorHAnsi" w:cstheme="majorHAnsi"/>
          <w:sz w:val="24"/>
          <w:szCs w:val="24"/>
        </w:rPr>
        <w:t xml:space="preserve">A propositura </w:t>
      </w:r>
      <w:r w:rsidR="004755B6">
        <w:rPr>
          <w:rFonts w:asciiTheme="majorHAnsi" w:hAnsiTheme="majorHAnsi" w:cstheme="majorHAnsi"/>
          <w:sz w:val="24"/>
          <w:szCs w:val="24"/>
        </w:rPr>
        <w:t>visa estabelecer</w:t>
      </w:r>
      <w:r w:rsidRPr="003D250F">
        <w:rPr>
          <w:rFonts w:asciiTheme="majorHAnsi" w:hAnsiTheme="majorHAnsi" w:cstheme="majorHAnsi"/>
          <w:sz w:val="24"/>
          <w:szCs w:val="24"/>
        </w:rPr>
        <w:t xml:space="preserve"> no âmbito da Câmara Municipal de Mogi Mirim</w:t>
      </w:r>
      <w:r w:rsidRPr="00F52EC1" w:rsidR="00F52EC1">
        <w:rPr>
          <w:rFonts w:asciiTheme="majorHAnsi" w:hAnsiTheme="majorHAnsi" w:cstheme="majorHAnsi"/>
          <w:sz w:val="24"/>
          <w:szCs w:val="24"/>
        </w:rPr>
        <w:t>,</w:t>
      </w:r>
      <w:r w:rsidRPr="00F52EC1">
        <w:rPr>
          <w:rFonts w:asciiTheme="majorHAnsi" w:hAnsiTheme="majorHAnsi" w:cstheme="majorHAnsi"/>
          <w:sz w:val="24"/>
          <w:szCs w:val="24"/>
        </w:rPr>
        <w:t xml:space="preserve"> </w:t>
      </w:r>
      <w:r w:rsidR="00966576">
        <w:rPr>
          <w:rFonts w:asciiTheme="majorHAnsi" w:hAnsiTheme="majorHAnsi" w:cstheme="majorHAnsi"/>
          <w:sz w:val="24"/>
          <w:szCs w:val="24"/>
        </w:rPr>
        <w:t>a proibição</w:t>
      </w:r>
      <w:r w:rsidR="00DF3AA1">
        <w:rPr>
          <w:rFonts w:asciiTheme="majorHAnsi" w:hAnsiTheme="majorHAnsi" w:cstheme="majorHAnsi"/>
          <w:sz w:val="24"/>
          <w:szCs w:val="24"/>
        </w:rPr>
        <w:t xml:space="preserve"> da veiculação de publicidades, direta ou indireta, promovida por empresas que exploram quaisquer modalidades de jogos de azar online. Essa proibição se aplica para eventos organizados por entidades públicas ou privadas, em espaços públicos ou privados, realizados no município de Mogi Mirim e divulgação de qualquer ti</w:t>
      </w:r>
      <w:r w:rsidR="00D029F4">
        <w:rPr>
          <w:rFonts w:asciiTheme="majorHAnsi" w:hAnsiTheme="majorHAnsi" w:cstheme="majorHAnsi"/>
          <w:sz w:val="24"/>
          <w:szCs w:val="24"/>
        </w:rPr>
        <w:t>po de propaganda ou publicidade. Ademais, a</w:t>
      </w:r>
      <w:r w:rsidRPr="00D029F4" w:rsidR="00D029F4">
        <w:rPr>
          <w:rFonts w:asciiTheme="majorHAnsi" w:hAnsiTheme="majorHAnsi" w:cstheme="majorHAnsi"/>
          <w:sz w:val="24"/>
          <w:szCs w:val="24"/>
        </w:rPr>
        <w:t xml:space="preserve"> proposta prevê sanções administrativas e financeiras às pessoas físicas e jurídicas que descumprirem a norma, além da promoção de campanhas educativas sobre os riscos associados à</w:t>
      </w:r>
      <w:r w:rsidR="00D029F4">
        <w:rPr>
          <w:rFonts w:asciiTheme="majorHAnsi" w:hAnsiTheme="majorHAnsi" w:cstheme="majorHAnsi"/>
          <w:sz w:val="24"/>
          <w:szCs w:val="24"/>
        </w:rPr>
        <w:t xml:space="preserve"> pratica de jogos de azar.</w:t>
      </w:r>
    </w:p>
    <w:p w:rsidR="00F52EC1" w:rsidP="00C56DF7">
      <w:pPr>
        <w:spacing w:before="100" w:beforeAutospacing="1"/>
        <w:contextualSpacing/>
        <w:jc w:val="both"/>
        <w:rPr>
          <w:rFonts w:asciiTheme="majorHAnsi" w:hAnsiTheme="majorHAnsi" w:cstheme="majorHAnsi"/>
          <w:sz w:val="24"/>
          <w:szCs w:val="24"/>
        </w:rPr>
      </w:pPr>
    </w:p>
    <w:p w:rsidR="003D250F" w:rsidRPr="003D250F" w:rsidP="00C56DF7">
      <w:pPr>
        <w:spacing w:before="100" w:beforeAutospacing="1"/>
        <w:contextualSpacing/>
        <w:jc w:val="both"/>
        <w:rPr>
          <w:rFonts w:asciiTheme="majorHAnsi" w:hAnsiTheme="majorHAnsi" w:cstheme="majorHAnsi"/>
          <w:sz w:val="24"/>
          <w:szCs w:val="24"/>
        </w:rPr>
      </w:pPr>
      <w:r w:rsidRPr="003D250F">
        <w:rPr>
          <w:rFonts w:asciiTheme="majorHAnsi" w:hAnsiTheme="majorHAnsi" w:cstheme="majorHAnsi"/>
          <w:sz w:val="24"/>
          <w:szCs w:val="24"/>
        </w:rPr>
        <w:t xml:space="preserve"> </w:t>
      </w:r>
      <w:r w:rsidR="000C4A24">
        <w:rPr>
          <w:rFonts w:asciiTheme="majorHAnsi" w:hAnsiTheme="majorHAnsi" w:cstheme="majorHAnsi"/>
          <w:sz w:val="24"/>
          <w:szCs w:val="24"/>
        </w:rPr>
        <w:t xml:space="preserve"> </w:t>
      </w:r>
      <w:r w:rsidR="00D03941">
        <w:rPr>
          <w:rFonts w:asciiTheme="majorHAnsi" w:hAnsiTheme="majorHAnsi" w:cstheme="majorHAnsi"/>
          <w:sz w:val="24"/>
          <w:szCs w:val="24"/>
        </w:rPr>
        <w:t xml:space="preserve"> </w:t>
      </w:r>
      <w:r w:rsidR="00D03941">
        <w:rPr>
          <w:rFonts w:asciiTheme="majorHAnsi" w:hAnsiTheme="majorHAnsi" w:cstheme="majorHAnsi"/>
          <w:sz w:val="24"/>
          <w:szCs w:val="24"/>
        </w:rPr>
        <w:tab/>
      </w:r>
      <w:r>
        <w:rPr>
          <w:rFonts w:asciiTheme="majorHAnsi" w:hAnsiTheme="majorHAnsi" w:cstheme="majorHAnsi"/>
          <w:sz w:val="24"/>
          <w:szCs w:val="24"/>
        </w:rPr>
        <w:t>O autor</w:t>
      </w:r>
      <w:r w:rsidRPr="003D250F">
        <w:rPr>
          <w:rFonts w:asciiTheme="majorHAnsi" w:hAnsiTheme="majorHAnsi" w:cstheme="majorHAnsi"/>
          <w:sz w:val="24"/>
          <w:szCs w:val="24"/>
        </w:rPr>
        <w:t xml:space="preserve"> argumenta que “</w:t>
      </w:r>
      <w:r w:rsidRPr="00966576" w:rsidR="00966576">
        <w:rPr>
          <w:rFonts w:asciiTheme="majorHAnsi" w:hAnsiTheme="majorHAnsi" w:cstheme="majorHAnsi"/>
          <w:i/>
          <w:sz w:val="24"/>
          <w:szCs w:val="24"/>
        </w:rPr>
        <w:t>A maioria dos apostadores em plataformas de apostas online, conhecidas como “</w:t>
      </w:r>
      <w:r w:rsidRPr="00966576" w:rsidR="00966576">
        <w:rPr>
          <w:rFonts w:asciiTheme="majorHAnsi" w:hAnsiTheme="majorHAnsi" w:cstheme="majorHAnsi"/>
          <w:i/>
          <w:sz w:val="24"/>
          <w:szCs w:val="24"/>
        </w:rPr>
        <w:t>bets</w:t>
      </w:r>
      <w:r w:rsidRPr="00966576" w:rsidR="00966576">
        <w:rPr>
          <w:rFonts w:asciiTheme="majorHAnsi" w:hAnsiTheme="majorHAnsi" w:cstheme="majorHAnsi"/>
          <w:i/>
          <w:sz w:val="24"/>
          <w:szCs w:val="24"/>
        </w:rPr>
        <w:t xml:space="preserve">”, pertence a famílias com renda mensal de até três salários mínimos, o que evidencia a vulnerabilidade econômica dos principais usuários desses serviços. Diversos países europeus, como o Reino Unido e a Espanha, já adotaram medidas restritivas à publicidade de apostas, limitando sua presença em uniformes, estádios e transmissões esportivas, notadamente com o objetivo de proteger o público </w:t>
      </w:r>
      <w:r w:rsidRPr="00966576" w:rsidR="00966576">
        <w:rPr>
          <w:rFonts w:asciiTheme="majorHAnsi" w:hAnsiTheme="majorHAnsi" w:cstheme="majorHAnsi"/>
          <w:i/>
          <w:sz w:val="24"/>
          <w:szCs w:val="24"/>
        </w:rPr>
        <w:t>infantojuvenil</w:t>
      </w:r>
      <w:r w:rsidRPr="00966576" w:rsidR="00966576">
        <w:rPr>
          <w:rFonts w:asciiTheme="majorHAnsi" w:hAnsiTheme="majorHAnsi" w:cstheme="majorHAnsi"/>
          <w:i/>
          <w:sz w:val="24"/>
          <w:szCs w:val="24"/>
        </w:rPr>
        <w:t xml:space="preserve"> e resguardar a integridade das competições.</w:t>
      </w:r>
      <w:r w:rsidR="000C4A24">
        <w:rPr>
          <w:rFonts w:asciiTheme="majorHAnsi" w:hAnsiTheme="majorHAnsi" w:cstheme="majorHAnsi"/>
          <w:sz w:val="24"/>
          <w:szCs w:val="24"/>
        </w:rPr>
        <w:t>”. O autor</w:t>
      </w:r>
      <w:r w:rsidRPr="003D250F">
        <w:rPr>
          <w:rFonts w:asciiTheme="majorHAnsi" w:hAnsiTheme="majorHAnsi" w:cstheme="majorHAnsi"/>
          <w:sz w:val="24"/>
          <w:szCs w:val="24"/>
        </w:rPr>
        <w:t xml:space="preserve"> complementa ainda que “</w:t>
      </w:r>
      <w:r w:rsidRPr="00966576" w:rsidR="00966576">
        <w:rPr>
          <w:rFonts w:asciiTheme="majorHAnsi" w:hAnsiTheme="majorHAnsi" w:cstheme="majorHAnsi"/>
          <w:i/>
          <w:sz w:val="24"/>
          <w:szCs w:val="24"/>
        </w:rPr>
        <w:t>Diante do exposto, cabe à Câmara Municipal de Mogi Mirim o dever de deliberar sobre esta proposição, cuja finalidade precípua é proteger a saúde mental da população, assegurar a ética nas relações esportivas e garantir a integridade de programas públicos voltados ao esporte como instrumento de inclusão social, educação e cidadania</w:t>
      </w:r>
      <w:r w:rsidR="00966576">
        <w:t>.</w:t>
      </w:r>
      <w:r w:rsidRPr="003D250F">
        <w:rPr>
          <w:rFonts w:asciiTheme="majorHAnsi" w:hAnsiTheme="majorHAnsi" w:cstheme="majorHAnsi"/>
          <w:sz w:val="24"/>
          <w:szCs w:val="24"/>
        </w:rPr>
        <w:t>”.</w:t>
      </w:r>
    </w:p>
    <w:p w:rsidR="003D250F" w:rsidRPr="00C56DF7" w:rsidP="00C56DF7">
      <w:pPr>
        <w:spacing w:before="100" w:beforeAutospacing="1"/>
        <w:contextualSpacing/>
        <w:jc w:val="both"/>
        <w:rPr>
          <w:rFonts w:asciiTheme="majorHAnsi" w:hAnsiTheme="majorHAnsi" w:cstheme="majorHAnsi"/>
          <w:b/>
          <w:i/>
          <w:sz w:val="24"/>
          <w:szCs w:val="24"/>
        </w:rPr>
      </w:pPr>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Pr="00BF47AD" w:rsidR="00BF47AD">
        <w:rPr>
          <w:rFonts w:asciiTheme="majorHAnsi" w:hAnsiTheme="majorHAnsi" w:cstheme="majorHAnsi"/>
        </w:rPr>
        <w:t>destacamos que a pressente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 e</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637C5F" w:rsidP="00027D0F">
      <w:pPr>
        <w:pStyle w:val="NormalWeb"/>
        <w:spacing w:after="0" w:afterAutospacing="0"/>
        <w:ind w:firstLine="720"/>
        <w:contextualSpacing/>
        <w:jc w:val="both"/>
        <w:rPr>
          <w:rFonts w:asciiTheme="majorHAnsi" w:hAnsiTheme="majorHAnsi" w:cstheme="majorHAnsi"/>
        </w:rPr>
      </w:pPr>
      <w:r>
        <w:rPr>
          <w:rFonts w:asciiTheme="majorHAnsi" w:hAnsiTheme="majorHAnsi" w:cstheme="majorHAnsi"/>
        </w:rPr>
        <w:t xml:space="preserve">O projeto visa </w:t>
      </w:r>
      <w:r w:rsidR="00966576">
        <w:rPr>
          <w:rFonts w:asciiTheme="majorHAnsi" w:hAnsiTheme="majorHAnsi" w:cstheme="majorHAnsi"/>
        </w:rPr>
        <w:t xml:space="preserve">proibir no âmbito do município de Mogi Mirim, a veiculação de publicidade, direta ou indireta, promovida por empresas que explorem apostas esportivas ou quaisquer modalidades de jogos de azar online, e dá outras providências. </w:t>
      </w:r>
    </w:p>
    <w:p w:rsidR="00D31303" w:rsidP="00D029F4">
      <w:pPr>
        <w:pStyle w:val="NormalWeb"/>
        <w:spacing w:after="0" w:afterAutospacing="0"/>
        <w:contextualSpacing/>
        <w:jc w:val="both"/>
        <w:rPr>
          <w:rFonts w:asciiTheme="majorHAnsi" w:hAnsiTheme="majorHAnsi" w:cstheme="majorHAnsi"/>
        </w:rPr>
      </w:pPr>
    </w:p>
    <w:p w:rsidR="00DF3AA1" w:rsidP="00D029F4">
      <w:pPr>
        <w:pStyle w:val="NormalWeb"/>
        <w:spacing w:after="0" w:afterAutospacing="0"/>
        <w:contextualSpacing/>
        <w:jc w:val="both"/>
        <w:rPr>
          <w:rFonts w:asciiTheme="majorHAnsi" w:hAnsiTheme="majorHAnsi" w:cstheme="majorHAnsi"/>
        </w:rPr>
      </w:pPr>
      <w:r>
        <w:rPr>
          <w:rFonts w:asciiTheme="majorHAnsi" w:hAnsiTheme="majorHAnsi" w:cstheme="majorHAnsi"/>
        </w:rPr>
        <w:t xml:space="preserve">             O </w:t>
      </w:r>
      <w:r w:rsidR="00D029F4">
        <w:rPr>
          <w:rFonts w:asciiTheme="majorHAnsi" w:hAnsiTheme="majorHAnsi" w:cstheme="majorHAnsi"/>
        </w:rPr>
        <w:t>projeto</w:t>
      </w:r>
      <w:r w:rsidRPr="000C4A24" w:rsidR="000C4A24">
        <w:rPr>
          <w:rFonts w:asciiTheme="majorHAnsi" w:hAnsiTheme="majorHAnsi" w:cstheme="majorHAnsi"/>
        </w:rPr>
        <w:t xml:space="preserve"> </w:t>
      </w:r>
      <w:r>
        <w:rPr>
          <w:rFonts w:asciiTheme="majorHAnsi" w:hAnsiTheme="majorHAnsi" w:cstheme="majorHAnsi"/>
        </w:rPr>
        <w:t>estabelece</w:t>
      </w:r>
      <w:r w:rsidR="00D03941">
        <w:rPr>
          <w:rFonts w:asciiTheme="majorHAnsi" w:hAnsiTheme="majorHAnsi" w:cstheme="majorHAnsi"/>
        </w:rPr>
        <w:t xml:space="preserve"> em seu</w:t>
      </w:r>
      <w:r>
        <w:rPr>
          <w:rFonts w:asciiTheme="majorHAnsi" w:hAnsiTheme="majorHAnsi" w:cstheme="majorHAnsi"/>
        </w:rPr>
        <w:t xml:space="preserve"> art. 5º</w:t>
      </w:r>
      <w:r w:rsidRPr="00D029F4" w:rsidR="00D029F4">
        <w:rPr>
          <w:rFonts w:asciiTheme="majorHAnsi" w:hAnsiTheme="majorHAnsi" w:cstheme="majorHAnsi"/>
        </w:rPr>
        <w:t xml:space="preserve"> penalidades financeiras aplicáveis às pessoas físicas ou jurídicas que infringirem a </w:t>
      </w:r>
      <w:r w:rsidR="00D029F4">
        <w:rPr>
          <w:rFonts w:asciiTheme="majorHAnsi" w:hAnsiTheme="majorHAnsi" w:cstheme="majorHAnsi"/>
        </w:rPr>
        <w:t xml:space="preserve">norma, com multa no valor de R$ </w:t>
      </w:r>
      <w:r w:rsidRPr="00D029F4" w:rsidR="00D029F4">
        <w:rPr>
          <w:rFonts w:asciiTheme="majorHAnsi" w:hAnsiTheme="majorHAnsi" w:cstheme="majorHAnsi"/>
        </w:rPr>
        <w:t>30.000,00</w:t>
      </w:r>
      <w:r w:rsidR="00D029F4">
        <w:rPr>
          <w:rFonts w:asciiTheme="majorHAnsi" w:hAnsiTheme="majorHAnsi" w:cstheme="majorHAnsi"/>
        </w:rPr>
        <w:t xml:space="preserve"> (trinta mil reais)</w:t>
      </w:r>
      <w:r w:rsidRPr="00D029F4" w:rsidR="00D029F4">
        <w:rPr>
          <w:rFonts w:asciiTheme="majorHAnsi" w:hAnsiTheme="majorHAnsi" w:cstheme="majorHAnsi"/>
        </w:rPr>
        <w:t xml:space="preserve"> por infração. Os valores arrecadados serão destinados a campanhas de prevenção à </w:t>
      </w:r>
      <w:r w:rsidRPr="00D029F4" w:rsidR="00D029F4">
        <w:rPr>
          <w:rFonts w:asciiTheme="majorHAnsi" w:hAnsiTheme="majorHAnsi" w:cstheme="majorHAnsi"/>
        </w:rPr>
        <w:t>ludopatia</w:t>
      </w:r>
      <w:r w:rsidRPr="00D029F4" w:rsidR="00D029F4">
        <w:rPr>
          <w:rFonts w:asciiTheme="majorHAnsi" w:hAnsiTheme="majorHAnsi" w:cstheme="majorHAnsi"/>
        </w:rPr>
        <w:t xml:space="preserve"> e promoção do esporte educativo.</w:t>
      </w:r>
    </w:p>
    <w:p w:rsidR="00D029F4" w:rsidP="00D029F4">
      <w:pPr>
        <w:pStyle w:val="NormalWeb"/>
        <w:spacing w:after="0" w:afterAutospacing="0"/>
        <w:contextualSpacing/>
        <w:jc w:val="both"/>
        <w:rPr>
          <w:rFonts w:asciiTheme="majorHAnsi" w:hAnsiTheme="majorHAnsi" w:cstheme="majorHAnsi"/>
        </w:rPr>
      </w:pPr>
    </w:p>
    <w:p w:rsidR="00D31303" w:rsidP="00D31303">
      <w:pPr>
        <w:pStyle w:val="NormalWeb"/>
        <w:spacing w:after="0" w:afterAutospacing="0"/>
        <w:contextualSpacing/>
        <w:jc w:val="both"/>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 xml:space="preserve">   Do ponto de vista orçamentário e financeiro, o projeto não impõe obrigações diretas ao orçamento municipal, tampouco estabelece a criação de novas despesas fixas ou permanentes. </w:t>
      </w:r>
      <w:r w:rsidR="005B003E">
        <w:rPr>
          <w:rFonts w:asciiTheme="majorHAnsi" w:hAnsiTheme="majorHAnsi" w:cstheme="majorHAnsi"/>
        </w:rPr>
        <w:t>As campanhas “autorizadas” de forma facultativa pelo projeto, podem ser executadas utilizando a estrutura já existente da rede pública</w:t>
      </w:r>
    </w:p>
    <w:p w:rsidR="00D029F4" w:rsidRPr="000C4A24" w:rsidP="00D029F4">
      <w:pPr>
        <w:pStyle w:val="NormalWeb"/>
        <w:spacing w:after="0" w:afterAutospacing="0"/>
        <w:contextualSpacing/>
        <w:jc w:val="both"/>
        <w:rPr>
          <w:rFonts w:asciiTheme="majorHAnsi" w:hAnsiTheme="majorHAnsi" w:cstheme="majorHAnsi"/>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Diante de todo exposto, não se identifica óbice para a sua regular tramitação e aprovação por esta Casa Legislativa.</w:t>
      </w:r>
    </w:p>
    <w:p w:rsidR="009D4F58" w:rsidRP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w:t>
      </w:r>
      <w:r w:rsidR="00966576">
        <w:rPr>
          <w:rFonts w:asciiTheme="majorHAnsi" w:hAnsiTheme="majorHAnsi" w:cstheme="majorHAnsi"/>
        </w:rPr>
        <w:t>do Projeto de Lei Nº 63</w:t>
      </w:r>
      <w:r w:rsidRPr="00D677F3">
        <w:rPr>
          <w:rFonts w:asciiTheme="majorHAnsi" w:hAnsiTheme="majorHAnsi" w:cstheme="majorHAnsi"/>
        </w:rPr>
        <w:t>/2025</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D677F3" w:rsidP="00D677F3">
      <w:pPr>
        <w:pStyle w:val="NormalWeb"/>
        <w:spacing w:after="0" w:afterAutospacing="0"/>
        <w:contextualSpacing/>
        <w:jc w:val="both"/>
        <w:rPr>
          <w:rFonts w:asciiTheme="majorHAnsi" w:hAnsiTheme="majorHAnsi" w:cstheme="majorHAnsi"/>
        </w:rPr>
      </w:pPr>
    </w:p>
    <w:p w:rsidR="00C31C89" w:rsidRPr="00D677F3" w:rsidP="00D677F3">
      <w:pPr>
        <w:pStyle w:val="NormalWeb"/>
        <w:spacing w:after="0" w:afterAutospacing="0"/>
        <w:contextualSpacing/>
        <w:jc w:val="both"/>
        <w:rPr>
          <w:rFonts w:asciiTheme="majorHAnsi" w:hAnsiTheme="majorHAnsi" w:cstheme="majorHAnsi"/>
          <w:b/>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IV.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D31303" w:rsidP="00D677F3">
      <w:pPr>
        <w:pStyle w:val="NormalWeb"/>
        <w:spacing w:after="0" w:afterAutospacing="0"/>
        <w:contextualSpacing/>
        <w:jc w:val="center"/>
        <w:rPr>
          <w:rFonts w:asciiTheme="majorHAnsi" w:hAnsiTheme="majorHAnsi" w:cstheme="majorHAnsi"/>
        </w:rPr>
      </w:pPr>
    </w:p>
    <w:p w:rsidR="00D31303" w:rsidP="00D677F3">
      <w:pPr>
        <w:pStyle w:val="NormalWeb"/>
        <w:spacing w:after="0" w:afterAutospacing="0"/>
        <w:contextualSpacing/>
        <w:jc w:val="center"/>
        <w:rPr>
          <w:rFonts w:asciiTheme="majorHAnsi" w:hAnsiTheme="majorHAnsi" w:cstheme="majorHAnsi"/>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 xml:space="preserve">Sala das Comissões, em </w:t>
      </w:r>
      <w:r w:rsidR="005B003E">
        <w:rPr>
          <w:rFonts w:asciiTheme="majorHAnsi" w:hAnsiTheme="majorHAnsi" w:cstheme="majorHAnsi"/>
        </w:rPr>
        <w:t>18</w:t>
      </w:r>
      <w:r w:rsidR="00D41199">
        <w:rPr>
          <w:rFonts w:asciiTheme="majorHAnsi" w:hAnsiTheme="majorHAnsi" w:cstheme="majorHAnsi"/>
        </w:rPr>
        <w:t xml:space="preserve"> </w:t>
      </w:r>
      <w:r w:rsidR="00637C5F">
        <w:rPr>
          <w:rFonts w:asciiTheme="majorHAnsi" w:hAnsiTheme="majorHAnsi" w:cstheme="majorHAnsi"/>
        </w:rPr>
        <w:t xml:space="preserve">de </w:t>
      </w:r>
      <w:r w:rsidR="00966576">
        <w:rPr>
          <w:rFonts w:asciiTheme="majorHAnsi" w:hAnsiTheme="majorHAnsi" w:cstheme="majorHAnsi"/>
        </w:rPr>
        <w:t>setembro</w:t>
      </w:r>
      <w:r w:rsidRPr="00D677F3" w:rsidR="006B31CF">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rPr>
      </w:pPr>
    </w:p>
    <w:p w:rsidR="00D75C8D"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B33FF5" w:rsidP="004A4450">
      <w:pPr>
        <w:rPr>
          <w:rFonts w:asciiTheme="majorHAnsi" w:hAnsiTheme="majorHAnsi" w:cstheme="majorHAnsi"/>
          <w:b/>
          <w:sz w:val="24"/>
          <w:szCs w:val="24"/>
        </w:rPr>
      </w:pPr>
    </w:p>
    <w:p w:rsidR="00F660F1" w:rsidP="004A4450">
      <w:pPr>
        <w:rPr>
          <w:rFonts w:asciiTheme="majorHAnsi" w:hAnsiTheme="majorHAnsi" w:cstheme="majorHAnsi"/>
          <w:b/>
          <w:sz w:val="24"/>
          <w:szCs w:val="24"/>
        </w:rPr>
      </w:pPr>
    </w:p>
    <w:p w:rsidR="00966576" w:rsidP="004A4450">
      <w:pPr>
        <w:rPr>
          <w:rFonts w:asciiTheme="majorHAnsi" w:hAnsiTheme="majorHAnsi" w:cstheme="majorHAnsi"/>
          <w:b/>
          <w:sz w:val="24"/>
          <w:szCs w:val="24"/>
        </w:rPr>
      </w:pPr>
    </w:p>
    <w:p w:rsidR="00966576" w:rsidP="004A4450">
      <w:pPr>
        <w:rPr>
          <w:rFonts w:asciiTheme="majorHAnsi" w:hAnsiTheme="majorHAnsi" w:cstheme="majorHAnsi"/>
          <w:b/>
          <w:sz w:val="24"/>
          <w:szCs w:val="24"/>
        </w:rPr>
      </w:pPr>
    </w:p>
    <w:p w:rsidR="00966576" w:rsidP="004A4450">
      <w:pPr>
        <w:rPr>
          <w:rFonts w:asciiTheme="majorHAnsi" w:hAnsiTheme="majorHAnsi" w:cstheme="majorHAnsi"/>
          <w:b/>
          <w:sz w:val="24"/>
          <w:szCs w:val="24"/>
        </w:rPr>
      </w:pPr>
    </w:p>
    <w:p w:rsidR="00966576" w:rsidP="004A4450">
      <w:pPr>
        <w:rPr>
          <w:rFonts w:asciiTheme="majorHAnsi" w:hAnsiTheme="majorHAnsi" w:cstheme="majorHAnsi"/>
          <w:b/>
          <w:sz w:val="24"/>
          <w:szCs w:val="24"/>
        </w:rPr>
      </w:pPr>
    </w:p>
    <w:p w:rsidR="00F660F1" w:rsidP="004A4450">
      <w:pPr>
        <w:rPr>
          <w:rFonts w:asciiTheme="majorHAnsi" w:hAnsiTheme="majorHAnsi" w:cstheme="majorHAnsi"/>
          <w:b/>
          <w:sz w:val="24"/>
          <w:szCs w:val="24"/>
        </w:rPr>
      </w:pPr>
    </w:p>
    <w:p w:rsidR="006B31CF" w:rsidRPr="008E6358" w:rsidP="00D03941">
      <w:pPr>
        <w:jc w:val="center"/>
        <w:rPr>
          <w:rFonts w:asciiTheme="majorHAnsi" w:hAnsiTheme="majorHAnsi" w:cstheme="majorHAnsi"/>
          <w:b/>
          <w:bCs/>
          <w:sz w:val="24"/>
          <w:szCs w:val="24"/>
        </w:rPr>
      </w:pPr>
      <w:r w:rsidRPr="008E6358">
        <w:rPr>
          <w:rFonts w:asciiTheme="majorHAnsi" w:hAnsiTheme="majorHAnsi" w:cstheme="majorHAnsi"/>
          <w:b/>
          <w:sz w:val="24"/>
          <w:szCs w:val="24"/>
        </w:rPr>
        <w:t>PARECER FAVORÁVEL DA COMISSÃO DE FINANÇAS E ORÇAMENTO.</w:t>
      </w:r>
    </w:p>
    <w:p w:rsidR="00D75C8D" w:rsidRPr="00D677F3" w:rsidP="00D677F3">
      <w:pPr>
        <w:pStyle w:val="NormalWeb"/>
        <w:spacing w:after="0" w:afterAutospacing="0"/>
        <w:contextualSpacing/>
        <w:jc w:val="center"/>
        <w:rPr>
          <w:rFonts w:asciiTheme="majorHAnsi" w:hAnsiTheme="majorHAnsi" w:cstheme="majorHAnsi"/>
          <w:b/>
        </w:rPr>
      </w:pP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6B31CF" w:rsidP="00D03941">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5B003E">
        <w:rPr>
          <w:rFonts w:asciiTheme="majorHAnsi" w:hAnsiTheme="majorHAnsi" w:cstheme="majorHAnsi"/>
        </w:rPr>
        <w:t>18</w:t>
      </w:r>
      <w:bookmarkStart w:id="0" w:name="_GoBack"/>
      <w:bookmarkEnd w:id="0"/>
      <w:r w:rsidR="00637C5F">
        <w:rPr>
          <w:rFonts w:asciiTheme="majorHAnsi" w:hAnsiTheme="majorHAnsi" w:cstheme="majorHAnsi"/>
        </w:rPr>
        <w:t xml:space="preserve"> de </w:t>
      </w:r>
      <w:r w:rsidR="00966576">
        <w:rPr>
          <w:rFonts w:asciiTheme="majorHAnsi" w:hAnsiTheme="majorHAnsi" w:cstheme="majorHAnsi"/>
        </w:rPr>
        <w:t>setembro</w:t>
      </w:r>
      <w:r w:rsidRPr="00D677F3">
        <w:rPr>
          <w:rFonts w:asciiTheme="majorHAnsi" w:hAnsiTheme="majorHAnsi" w:cstheme="majorHAnsi"/>
        </w:rPr>
        <w:t xml:space="preserve"> de 2025.</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6B31CF" w:rsidRPr="00D677F3"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6B31CF" w:rsidRPr="00D677F3" w:rsidP="00D677F3">
      <w:pPr>
        <w:pStyle w:val="NormalWeb"/>
        <w:spacing w:after="0" w:afterAutospacing="0"/>
        <w:contextualSpacing/>
        <w:jc w:val="center"/>
        <w:rPr>
          <w:rStyle w:val="Strong"/>
          <w:rFonts w:asciiTheme="majorHAnsi" w:hAnsiTheme="majorHAnsi" w:cstheme="majorHAnsi"/>
          <w:b w:val="0"/>
        </w:rPr>
      </w:pPr>
      <w:r w:rsidRPr="00D677F3">
        <w:rPr>
          <w:rFonts w:asciiTheme="majorHAnsi" w:hAnsiTheme="majorHAnsi" w:cstheme="majorHAnsi"/>
          <w:b/>
        </w:rPr>
        <w:t>Membro</w:t>
      </w: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20584A" w:rsidRPr="00D677F3" w:rsidP="00D677F3">
      <w:pPr>
        <w:pStyle w:val="NormalWeb"/>
        <w:spacing w:after="0" w:afterAutospacing="0"/>
        <w:contextualSpacing/>
        <w:jc w:val="both"/>
        <w:rPr>
          <w:rStyle w:val="Strong"/>
          <w:rFonts w:asciiTheme="majorHAnsi" w:hAnsiTheme="majorHAnsi" w:cstheme="majorHAnsi"/>
        </w:rPr>
      </w:pPr>
    </w:p>
    <w:p w:rsidR="00F13148" w:rsidRPr="00D677F3" w:rsidP="00D677F3">
      <w:pPr>
        <w:pStyle w:val="NormalWeb"/>
        <w:spacing w:after="0" w:afterAutospacing="0"/>
        <w:contextualSpacing/>
        <w:jc w:val="both"/>
        <w:rPr>
          <w:rFonts w:asciiTheme="majorHAnsi" w:hAnsiTheme="majorHAnsi" w:cstheme="majorHAnsi"/>
          <w:color w:val="404040"/>
        </w:rPr>
      </w:pP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pPr>
      <w:pBdr>
        <w:top w:val="nil"/>
        <w:left w:val="nil"/>
        <w:bottom w:val="nil"/>
        <w:right w:val="nil"/>
        <w:between w:val="nil"/>
      </w:pBdr>
      <w:tabs>
        <w:tab w:val="center" w:pos="4419"/>
        <w:tab w:val="right" w:pos="8838"/>
      </w:tabs>
      <w:jc w:val="center"/>
      <w:rPr>
        <w:b/>
        <w:bCs/>
        <w:color w:val="000000"/>
        <w:sz w:val="18"/>
        <w:szCs w:val="18"/>
      </w:rPr>
    </w:pPr>
  </w:p>
  <w:p w:rsidR="008A537A">
    <w:pPr>
      <w:pBdr>
        <w:top w:val="nil"/>
        <w:left w:val="nil"/>
        <w:bottom w:val="nil"/>
        <w:right w:val="nil"/>
        <w:between w:val="nil"/>
      </w:pBdr>
      <w:tabs>
        <w:tab w:val="center" w:pos="4419"/>
        <w:tab w:val="right" w:pos="8838"/>
      </w:tabs>
      <w:jc w:val="center"/>
      <w:rPr>
        <w:b/>
        <w:bCs/>
        <w:color w:val="000000"/>
        <w:sz w:val="18"/>
        <w:szCs w:val="18"/>
      </w:rPr>
    </w:pPr>
  </w:p>
  <w:p w:rsidR="00322469"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55"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20165D"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20165D"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
  </w:num>
  <w:num w:numId="4">
    <w:abstractNumId w:val="10"/>
  </w:num>
  <w:num w:numId="5">
    <w:abstractNumId w:val="20"/>
  </w:num>
  <w:num w:numId="6">
    <w:abstractNumId w:val="22"/>
  </w:num>
  <w:num w:numId="7">
    <w:abstractNumId w:val="4"/>
  </w:num>
  <w:num w:numId="8">
    <w:abstractNumId w:val="12"/>
  </w:num>
  <w:num w:numId="9">
    <w:abstractNumId w:val="9"/>
  </w:num>
  <w:num w:numId="10">
    <w:abstractNumId w:val="8"/>
  </w:num>
  <w:num w:numId="11">
    <w:abstractNumId w:val="6"/>
  </w:num>
  <w:num w:numId="12">
    <w:abstractNumId w:val="15"/>
  </w:num>
  <w:num w:numId="13">
    <w:abstractNumId w:val="0"/>
  </w:num>
  <w:num w:numId="14">
    <w:abstractNumId w:val="3"/>
  </w:num>
  <w:num w:numId="15">
    <w:abstractNumId w:val="19"/>
  </w:num>
  <w:num w:numId="16">
    <w:abstractNumId w:val="13"/>
  </w:num>
  <w:num w:numId="17">
    <w:abstractNumId w:val="18"/>
  </w:num>
  <w:num w:numId="18">
    <w:abstractNumId w:val="5"/>
  </w:num>
  <w:num w:numId="19">
    <w:abstractNumId w:val="2"/>
  </w:num>
  <w:num w:numId="20">
    <w:abstractNumId w:val="17"/>
  </w:num>
  <w:num w:numId="21">
    <w:abstractNumId w:val="16"/>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7531"/>
    <w:rsid w:val="00041A2D"/>
    <w:rsid w:val="00057A9B"/>
    <w:rsid w:val="000622A6"/>
    <w:rsid w:val="00064FC8"/>
    <w:rsid w:val="00070FE7"/>
    <w:rsid w:val="00071EF2"/>
    <w:rsid w:val="00072EB5"/>
    <w:rsid w:val="0008150E"/>
    <w:rsid w:val="00092E53"/>
    <w:rsid w:val="00096F36"/>
    <w:rsid w:val="000A1BE0"/>
    <w:rsid w:val="000A732D"/>
    <w:rsid w:val="000B1C6D"/>
    <w:rsid w:val="000C4A24"/>
    <w:rsid w:val="000F4933"/>
    <w:rsid w:val="00126AE5"/>
    <w:rsid w:val="0015590E"/>
    <w:rsid w:val="00181506"/>
    <w:rsid w:val="00187FC6"/>
    <w:rsid w:val="001902E0"/>
    <w:rsid w:val="00192536"/>
    <w:rsid w:val="001A3CE4"/>
    <w:rsid w:val="001B7303"/>
    <w:rsid w:val="0020165D"/>
    <w:rsid w:val="0020584A"/>
    <w:rsid w:val="00213987"/>
    <w:rsid w:val="00227E2C"/>
    <w:rsid w:val="00234376"/>
    <w:rsid w:val="00297379"/>
    <w:rsid w:val="002A2BD3"/>
    <w:rsid w:val="002A648D"/>
    <w:rsid w:val="002B5A45"/>
    <w:rsid w:val="002B71AC"/>
    <w:rsid w:val="002C0A99"/>
    <w:rsid w:val="002E3052"/>
    <w:rsid w:val="002F3157"/>
    <w:rsid w:val="002F589A"/>
    <w:rsid w:val="003121C8"/>
    <w:rsid w:val="00314B47"/>
    <w:rsid w:val="003200AF"/>
    <w:rsid w:val="00322469"/>
    <w:rsid w:val="00346786"/>
    <w:rsid w:val="00371A69"/>
    <w:rsid w:val="0038129E"/>
    <w:rsid w:val="00381C00"/>
    <w:rsid w:val="003A2ADE"/>
    <w:rsid w:val="003A5737"/>
    <w:rsid w:val="003A796B"/>
    <w:rsid w:val="003B1A59"/>
    <w:rsid w:val="003C6BCB"/>
    <w:rsid w:val="003D250F"/>
    <w:rsid w:val="003D6D21"/>
    <w:rsid w:val="003E5A51"/>
    <w:rsid w:val="003E60A2"/>
    <w:rsid w:val="003F0B47"/>
    <w:rsid w:val="003F64A5"/>
    <w:rsid w:val="00405098"/>
    <w:rsid w:val="00423EBB"/>
    <w:rsid w:val="00446FA1"/>
    <w:rsid w:val="004557B8"/>
    <w:rsid w:val="00456770"/>
    <w:rsid w:val="00472595"/>
    <w:rsid w:val="004755B6"/>
    <w:rsid w:val="00493896"/>
    <w:rsid w:val="004A4450"/>
    <w:rsid w:val="004B3FD2"/>
    <w:rsid w:val="004B6FDF"/>
    <w:rsid w:val="004C0017"/>
    <w:rsid w:val="004C076A"/>
    <w:rsid w:val="004D46DA"/>
    <w:rsid w:val="004E5944"/>
    <w:rsid w:val="004E6092"/>
    <w:rsid w:val="005242B1"/>
    <w:rsid w:val="00524D00"/>
    <w:rsid w:val="00543E03"/>
    <w:rsid w:val="005559D9"/>
    <w:rsid w:val="0055728D"/>
    <w:rsid w:val="00574381"/>
    <w:rsid w:val="0057515A"/>
    <w:rsid w:val="0059215B"/>
    <w:rsid w:val="005A235E"/>
    <w:rsid w:val="005B003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37C5F"/>
    <w:rsid w:val="00670C69"/>
    <w:rsid w:val="006834FE"/>
    <w:rsid w:val="00697874"/>
    <w:rsid w:val="006A54A9"/>
    <w:rsid w:val="006A762A"/>
    <w:rsid w:val="006B31CF"/>
    <w:rsid w:val="006D1946"/>
    <w:rsid w:val="006E14A1"/>
    <w:rsid w:val="006F48DD"/>
    <w:rsid w:val="007038AD"/>
    <w:rsid w:val="00741F3B"/>
    <w:rsid w:val="00753ABE"/>
    <w:rsid w:val="007556D8"/>
    <w:rsid w:val="0078178E"/>
    <w:rsid w:val="00783794"/>
    <w:rsid w:val="00784CD4"/>
    <w:rsid w:val="00785E1B"/>
    <w:rsid w:val="007911EF"/>
    <w:rsid w:val="007A08D1"/>
    <w:rsid w:val="007B6058"/>
    <w:rsid w:val="007C6029"/>
    <w:rsid w:val="00804434"/>
    <w:rsid w:val="0081335D"/>
    <w:rsid w:val="00842408"/>
    <w:rsid w:val="00855DD2"/>
    <w:rsid w:val="008641BE"/>
    <w:rsid w:val="00864928"/>
    <w:rsid w:val="0086613A"/>
    <w:rsid w:val="008677CB"/>
    <w:rsid w:val="00881E60"/>
    <w:rsid w:val="0088465F"/>
    <w:rsid w:val="008905C2"/>
    <w:rsid w:val="008A537A"/>
    <w:rsid w:val="008C08C5"/>
    <w:rsid w:val="008C125D"/>
    <w:rsid w:val="008C4AA2"/>
    <w:rsid w:val="008E6358"/>
    <w:rsid w:val="008F67DA"/>
    <w:rsid w:val="00902EE1"/>
    <w:rsid w:val="009048A2"/>
    <w:rsid w:val="00904ADF"/>
    <w:rsid w:val="00914ADC"/>
    <w:rsid w:val="00920A3F"/>
    <w:rsid w:val="00925E1A"/>
    <w:rsid w:val="00966576"/>
    <w:rsid w:val="0098102A"/>
    <w:rsid w:val="00983B49"/>
    <w:rsid w:val="009C0AEC"/>
    <w:rsid w:val="009D4F58"/>
    <w:rsid w:val="009D56B8"/>
    <w:rsid w:val="009D6B7C"/>
    <w:rsid w:val="00A00E3E"/>
    <w:rsid w:val="00A12DD9"/>
    <w:rsid w:val="00A14E63"/>
    <w:rsid w:val="00A164DC"/>
    <w:rsid w:val="00A23604"/>
    <w:rsid w:val="00A2712E"/>
    <w:rsid w:val="00A27446"/>
    <w:rsid w:val="00A42DE1"/>
    <w:rsid w:val="00A52713"/>
    <w:rsid w:val="00A672C0"/>
    <w:rsid w:val="00A92E38"/>
    <w:rsid w:val="00AD2770"/>
    <w:rsid w:val="00AE4353"/>
    <w:rsid w:val="00AE5858"/>
    <w:rsid w:val="00AF0C05"/>
    <w:rsid w:val="00AF3296"/>
    <w:rsid w:val="00AF4AC7"/>
    <w:rsid w:val="00B33FF5"/>
    <w:rsid w:val="00B45642"/>
    <w:rsid w:val="00B57090"/>
    <w:rsid w:val="00BA48C7"/>
    <w:rsid w:val="00BE41D6"/>
    <w:rsid w:val="00BE68FF"/>
    <w:rsid w:val="00BE6938"/>
    <w:rsid w:val="00BF2A6F"/>
    <w:rsid w:val="00BF47AD"/>
    <w:rsid w:val="00C00566"/>
    <w:rsid w:val="00C076DE"/>
    <w:rsid w:val="00C10154"/>
    <w:rsid w:val="00C3120C"/>
    <w:rsid w:val="00C31C89"/>
    <w:rsid w:val="00C56DF7"/>
    <w:rsid w:val="00C74E3F"/>
    <w:rsid w:val="00C75973"/>
    <w:rsid w:val="00CA4349"/>
    <w:rsid w:val="00CC230E"/>
    <w:rsid w:val="00CC3E72"/>
    <w:rsid w:val="00CF288D"/>
    <w:rsid w:val="00D029F4"/>
    <w:rsid w:val="00D03941"/>
    <w:rsid w:val="00D233F3"/>
    <w:rsid w:val="00D31303"/>
    <w:rsid w:val="00D33D19"/>
    <w:rsid w:val="00D41199"/>
    <w:rsid w:val="00D52DAE"/>
    <w:rsid w:val="00D543E6"/>
    <w:rsid w:val="00D635A7"/>
    <w:rsid w:val="00D65F4D"/>
    <w:rsid w:val="00D66197"/>
    <w:rsid w:val="00D677F3"/>
    <w:rsid w:val="00D735E2"/>
    <w:rsid w:val="00D75C8D"/>
    <w:rsid w:val="00D80A2E"/>
    <w:rsid w:val="00D81BDB"/>
    <w:rsid w:val="00D85ED2"/>
    <w:rsid w:val="00D9258F"/>
    <w:rsid w:val="00DA7AB4"/>
    <w:rsid w:val="00DC32F0"/>
    <w:rsid w:val="00DD7EAE"/>
    <w:rsid w:val="00DE2A9A"/>
    <w:rsid w:val="00DF3AA1"/>
    <w:rsid w:val="00DF605F"/>
    <w:rsid w:val="00E11ECC"/>
    <w:rsid w:val="00E3543A"/>
    <w:rsid w:val="00E471F3"/>
    <w:rsid w:val="00E57571"/>
    <w:rsid w:val="00E57668"/>
    <w:rsid w:val="00E7438B"/>
    <w:rsid w:val="00E978F5"/>
    <w:rsid w:val="00EA0447"/>
    <w:rsid w:val="00EA375D"/>
    <w:rsid w:val="00EA4E83"/>
    <w:rsid w:val="00EB1570"/>
    <w:rsid w:val="00EB3C9A"/>
    <w:rsid w:val="00EC5677"/>
    <w:rsid w:val="00ED7D93"/>
    <w:rsid w:val="00EE457C"/>
    <w:rsid w:val="00EF4DE4"/>
    <w:rsid w:val="00EF630E"/>
    <w:rsid w:val="00F00F78"/>
    <w:rsid w:val="00F10F57"/>
    <w:rsid w:val="00F13148"/>
    <w:rsid w:val="00F21F60"/>
    <w:rsid w:val="00F304D4"/>
    <w:rsid w:val="00F42F8D"/>
    <w:rsid w:val="00F52EC1"/>
    <w:rsid w:val="00F55E24"/>
    <w:rsid w:val="00F6470D"/>
    <w:rsid w:val="00F660F1"/>
    <w:rsid w:val="00F733EC"/>
    <w:rsid w:val="00F74441"/>
    <w:rsid w:val="00F81655"/>
    <w:rsid w:val="00F83282"/>
    <w:rsid w:val="00F91A1F"/>
    <w:rsid w:val="00F921DB"/>
    <w:rsid w:val="00FA65BC"/>
    <w:rsid w:val="00FB12A6"/>
    <w:rsid w:val="00FC75D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008C8-6D4F-44C9-8D44-BD03BAB8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3</cp:revision>
  <cp:lastPrinted>2025-02-18T14:53:00Z</cp:lastPrinted>
  <dcterms:created xsi:type="dcterms:W3CDTF">2025-09-09T18:56:00Z</dcterms:created>
  <dcterms:modified xsi:type="dcterms:W3CDTF">2025-09-18T17:38:00Z</dcterms:modified>
</cp:coreProperties>
</file>