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76E6" w:rsidRPr="009A41E7" w:rsidP="00FB76E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FB76E6" w:rsidRPr="009A41E7" w:rsidP="00FB76E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FINANÇAS E ORÇAMENTO</w:t>
      </w:r>
    </w:p>
    <w:p w:rsidR="00FB76E6" w:rsidRPr="009A41E7" w:rsidP="00FB76E6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B76E6" w:rsidRPr="0003179B" w:rsidP="00FB76E6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B76E6" w:rsidP="00FB76E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B76E6" w:rsidRPr="00036DD8" w:rsidP="00FB76E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PARECER CONJUNTO</w:t>
      </w:r>
    </w:p>
    <w:p w:rsidR="00FB76E6" w:rsidRPr="009A41E7" w:rsidP="00FB76E6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B76E6" w:rsidRPr="009A41E7" w:rsidP="00FB76E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SUBSTITUTIVO Nº 02 AO </w:t>
      </w:r>
      <w:r w:rsidR="005C7A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96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FB76E6" w:rsidP="00FB76E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“</w:t>
      </w:r>
      <w:r w:rsidRPr="005C7A5C" w:rsidR="005C7A5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DISPÕE SOBRE A FACULTATIVIDADE DA PARTICIPAÇÃO E CONTRIBUIÇÃO FINANCEIRA DOS MORADORES EM ASSOCIAÇÕES DE BAIRRO NO MUNICÍPIO DE MOGI MIRIM, E DÁ OUTRAS </w:t>
      </w:r>
      <w:r w:rsidRPr="005C7A5C" w:rsidR="005C7A5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PROVIDÊNCIAS.</w:t>
      </w:r>
      <w:r w:rsidRPr="003A47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”</w:t>
      </w:r>
    </w:p>
    <w:p w:rsidR="00FB76E6" w:rsidP="00FB76E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B76E6" w:rsidP="00FB76E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FB76E6" w:rsidRPr="003A4702" w:rsidP="00FB76E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B76E6" w:rsidRPr="003A4702" w:rsidP="00FB76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FB76E6" w:rsidP="00FB76E6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RELATÓRIO</w:t>
      </w:r>
    </w:p>
    <w:p w:rsidR="00FB76E6" w:rsidP="00FB76E6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Substitutivo nº 2 ao Projeto de Lei nº 96/2025 visa assegurar, no âmbito do Município de Mogi Mirim, a liberdade de associação dos moradores em entidades de bairro, estabelecendo a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facultatividade da adesão e da contribuição financeira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ressalvas às hipóteses excepcionais previstas em legislação federal e em precedentes jurisprudenciais.</w:t>
      </w:r>
    </w:p>
    <w:p w:rsidR="00FB76E6" w:rsidRPr="00FB76E6" w:rsidP="00FB76E6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B76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se alinha a um debate jurídico e social mais amplo, que busca equilibrar o direito fundamental de associação com as obrigações e direitos coletivos, especialmente em áreas que funcionam de forma semelhante a loteamentos fechados ou de acesso controlado.</w:t>
      </w:r>
    </w:p>
    <w:p w:rsidR="00FB76E6" w:rsidRPr="00FB76E6" w:rsidP="00FB76E6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B76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de lei é de suma importância para a segurança jurídica tanto dos moradores quanto das próprias associações, pois busca consolidar em lei municipal o entendimento já pacificado pelo Supremo Tribunal Federal (STF) e pelo Superior Tribunal de Justiça (STJ). A aprovação desta lei não cria uma nova norma, mas sim adapta a legislação local para refletir a jurisprudência nacional.</w:t>
      </w:r>
    </w:p>
    <w:p w:rsidR="005C7A5C" w:rsidRPr="005C7A5C" w:rsidP="005C7A5C">
      <w:pPr>
        <w:pStyle w:val="NoSpacing"/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II – ANÁLISE DE MÉRITO</w:t>
      </w:r>
    </w:p>
    <w:p w:rsidR="005C7A5C" w:rsidP="005C7A5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RP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1. Aspectos Constitucionais e Jurídicos</w:t>
      </w:r>
    </w:p>
    <w:p w:rsidR="005C7A5C" w:rsidP="005C7A5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O projeto está alicerçado no art. 5º, XX, da Constituição Federal, que consagra: </w:t>
      </w:r>
      <w:r w:rsidRPr="005C7A5C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“ninguém poderá ser compelido a associar-se ou a permanecer associado”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>. Trata-se de cláusula pétrea que assegura a liberdade de associação como direito fundamental.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RP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Ao estabelecer a </w:t>
      </w: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facultatividade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da participação e da contribuição financeira, a lei municipal impede a criação de cobranças compulsórias, que seriam inconstitucionais.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RP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A jurisprudência dos tribunais superiores, consolidada nos </w:t>
      </w: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Temas 492/STF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e </w:t>
      </w: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882/STJ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, confirma que </w:t>
      </w: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moradores não associados não podem ser obrigados a contribuir financeiramente com associações de bairro,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salvo em situações específicas legalmente previstas, como:</w:t>
      </w:r>
    </w:p>
    <w:p w:rsidR="005C7A5C" w:rsidP="005C7A5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RPr="005C7A5C" w:rsidP="005C7A5C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Lei nº 6.766/1979, art. 2º, § 8º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– que admite, em parcelamentos do solo aprovados com cláusulas específicas, a cobrança de custeio de manutenção de áreas comuns;</w:t>
      </w:r>
    </w:p>
    <w:p w:rsidR="005C7A5C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C7A5C" w:rsidRPr="005C7A5C" w:rsidP="005C7A5C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Condomínios edilícios (Lei nº 4.591/1964)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– onde a obrigação decorre do regime jurídico condominial e da indivisibilidade das despesas comuns.</w:t>
      </w:r>
    </w:p>
    <w:p w:rsidR="005C7A5C" w:rsidP="005C7A5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C08C3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O projeto de lei é explícito ao exigir a </w:t>
      </w: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manifestação expressa de vontade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 para a contribuição. Isso significa que a simples aquisição de um imóvel em um bairro com associação não implica a aceitação tácita de cobranças. O morador precisa aderir voluntariamente, por meio de um ato formal, para se tornar um contribuinte. Este ponto é crucial para </w:t>
      </w:r>
      <w:r w:rsidRPr="00191C34">
        <w:rPr>
          <w:rFonts w:ascii="Times New Roman" w:hAnsi="Times New Roman" w:cs="Times New Roman"/>
          <w:b/>
          <w:sz w:val="24"/>
          <w:szCs w:val="24"/>
          <w:lang w:eastAsia="pt-BR"/>
        </w:rPr>
        <w:t>evitar a cobrança de "taxas de manutenção" de proprietários que não desejam fazer parte da associação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 xml:space="preserve">, um dos principais pontos de atrito e 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>judicialização</w:t>
      </w:r>
      <w:r w:rsidRPr="005C7A5C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BC08C3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C08C3" w:rsidP="005C7A5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sz w:val="24"/>
          <w:szCs w:val="24"/>
          <w:lang w:eastAsia="pt-BR"/>
        </w:rPr>
        <w:t>O projeto, ao disciplinar a matéria, evita insegurança jurídica, harmonizando a realidade local às normas e decisões nacionais.</w:t>
      </w:r>
    </w:p>
    <w:p w:rsidR="00BC08C3">
      <w:pPr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br w:type="page"/>
      </w:r>
    </w:p>
    <w:p w:rsidR="00BC08C3" w:rsidRPr="00EF4414" w:rsidP="00BC08C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Aspectos Urbanísticos e de Serviços Públicos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As assoc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iações de bairro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desempenham função relevante de organização comunitária, muitas vezes atuando como intermediárias entre moradores e poder público, seja para manutenção de praças, seja para reivindicações de serviços.</w:t>
      </w:r>
    </w:p>
    <w:p w:rsidR="00BC08C3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Todavia, é essencial destacar que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espaços públicos – ruas, praças, equipamentos urbanos – são bens de uso comum do povo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art. 99, I, do Código Civil. Logo, o usufruto desses bens deve ser assegurado a todos os cidadãos, independentemente de contribuição financeira privada.</w:t>
      </w:r>
    </w:p>
    <w:p w:rsidR="00EF4414" w:rsidRPr="00EF4414" w:rsidP="00EF441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proibir que associações de bairro imponham restrições a não associados, a lei protege o </w:t>
      </w:r>
      <w:r w:rsidRPr="00EF44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domínio público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apropriações indevidas.</w:t>
      </w:r>
    </w:p>
    <w:p w:rsidR="00EF4414" w:rsidRPr="002F54CD" w:rsidP="00EF441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essenciais como coleta de lixo, iluminação pública, patrulhamento de segurança (realizado pela Guarda Municipal ou Polícia Militar), e manutenção de vias e praças são de responsabilidade do poder público e não podem ser condicionados ao pagamento de taxas a uma entidade privada. A lei assegura que todos os cidadãos de Mogi Mirim, independentemente de sua condição de associados, tenham acesso irrestrito a esses serviços. Qualquer tentativa de privatizar esses espaços e serviços seria ilegal e inconstitucional.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projeto, ao vedar que associações restrinjam ou penalizem moradores não associados (art. 3º),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reafirma a natureza pública dos espaços comunitários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previne práticas abusivas que poderiam caracterizar privatização indevida de bens de uso comum.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ao excepcionar condomínios e loteamentos com acesso controlado regularmente constituídos (art. 5º), o texto demonstra coerência técnica, evitando conflito normativo com institutos jurídicos distintos.</w:t>
      </w:r>
    </w:p>
    <w:p w:rsidR="00BC08C3" w:rsidRPr="002F54CD" w:rsidP="00BC08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BC08C3" w:rsidRPr="00EF4414" w:rsidP="00BC08C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Aspectos Sociais e Comunitários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ponto de vista social, a proposta reforça a autonomia do cidadão frente a associações privadas. Embora tais entidades possam desempenhar papel positivo na coesão comunitária,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compulsoriedade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contribuições tende a gerar conflitos internos, desigualdades e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judicialização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91C34"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clareza da norma diminuirá a quantidade de ações judiciais e reclamações </w:t>
      </w:r>
      <w:r w:rsidRPr="00191C34"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>administrativas relacionadas a cobranças indevidas de taxas. Isso desafogará o judiciário e os órgãos de defesa do consumidor, gerando economia de recursos públicos.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>As associações de bairro serão incentivadas a adotar uma gestão mais transparente e a oferecer serviços e benefícios de valor real para atrair e manter seus membros. O modelo de contribuição voluntária fortalece o vínculo entre a associação e a comunidade.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 facultatividade expressa, espera-se maior transparência na atuação das associações, que deverão pautar-se pela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legitimidade de sua representatividade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, angariando apoio voluntário e engajamento social, ao invés de impor cobranças.</w:t>
      </w:r>
    </w:p>
    <w:p w:rsidR="000B683E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ponto fortalece o princípio da </w:t>
      </w:r>
      <w:r w:rsidRPr="002F54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cidadania participativa</w:t>
      </w:r>
      <w:r w:rsidRPr="002F54CD">
        <w:rPr>
          <w:rFonts w:ascii="Times New Roman" w:eastAsia="Times New Roman" w:hAnsi="Times New Roman" w:cs="Times New Roman"/>
          <w:sz w:val="24"/>
          <w:szCs w:val="24"/>
          <w:lang w:eastAsia="pt-BR"/>
        </w:rPr>
        <w:t>, estimulando a adesão consciente e livre, e não por imposição.</w:t>
      </w:r>
      <w:r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C08C3" w:rsidRPr="002F54CD" w:rsidP="00BC08C3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>A lei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portanto, </w:t>
      </w:r>
      <w:r w:rsidRP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protege os moradores de serem coagidos ou de terem seus direitos negados por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não participarem de associações, g</w:t>
      </w:r>
      <w:r w:rsidRPr="00191C34"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>arant</w:t>
      </w:r>
      <w:r w:rsid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indo</w:t>
      </w:r>
      <w:r w:rsidRPr="00191C34" w:rsidR="00191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todos possam usufruir de serviços e espaços públicos de maneira igualitária.</w:t>
      </w:r>
    </w:p>
    <w:p w:rsidR="005C7A5C" w:rsidRPr="005C7A5C" w:rsidP="00BC08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EF4414" w:rsidRPr="00EF4414" w:rsidP="00EF441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Aspectos Financeiros e Orçamentários</w:t>
      </w:r>
    </w:p>
    <w:p w:rsidR="00497839" w:rsidP="0049783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Inexistência de impacto orçamentário direto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: o projeto regula relações entre moradores e associações privadas, sem criar obrigações financeiras para o Município.</w:t>
      </w:r>
    </w:p>
    <w:p w:rsidR="00EF4414" w:rsidRPr="00EF4414" w:rsidP="00EF441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Impacto indireto possível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: atualmente, em alguns bairros, associações assumem parcialmente tarefas de manutenção (ex.: limpeza de praças, segurança comunitária, iluminação complementar). Caso haja redução na adesão ou no custeio dessas entidades, a demanda pela atuação direta do Município pode aumentar.</w:t>
      </w:r>
    </w:p>
    <w:p w:rsidR="00EF4414" w:rsidRPr="00EF4414" w:rsidP="00EF441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cenário, contudo, não deve ser interpretado como fragilidade do projeto, mas como </w:t>
      </w: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afirmação do papel indelegável do poder público na prestação de serviços essenciais e na conservação de áreas públicas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F4414" w:rsidRPr="00EF4414" w:rsidP="00EF441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recomenda-se ao Executivo que adote </w:t>
      </w: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planejamento preventivo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, reforçando contratos de manutenção, programas de zeladoria urbana e parcerias transparentes (quando cabíveis), a fim de absorver eventual redistribuição de responsabilidades.</w:t>
      </w:r>
    </w:p>
    <w:p w:rsidR="00EF4414" w:rsidRPr="00EF4414" w:rsidP="00EF44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4414" w:rsidRPr="00EF4414" w:rsidP="00EF441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Aspectos de Atividades Privadas</w:t>
      </w:r>
    </w:p>
    <w:p w:rsidR="00EF4414" w:rsidRPr="00EF4414" w:rsidP="0049783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importante frisar que as associações de bairro são </w:t>
      </w: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pessoas jurídicas de direito privado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autonomia para definir seu estatuto, objetivos e forma de custeio. Todavia, essa autonomia </w:t>
      </w:r>
      <w:r w:rsidRPr="00EF44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pode se sobrepor a direitos fundamentais individuais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F4414" w:rsidRPr="00EF4414" w:rsidP="00497839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delimita com precisão o limite dessa autonomia:</w:t>
      </w:r>
    </w:p>
    <w:p w:rsidR="00EF4414" w:rsidRPr="00EF4414" w:rsidP="00EF44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associações podem existir e cobrar de seus associados;</w:t>
      </w:r>
    </w:p>
    <w:p w:rsidR="00EF4414" w:rsidRPr="00EF4414" w:rsidP="00EF44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não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podem impor restrições a terceiros que não aderirem;</w:t>
      </w:r>
    </w:p>
    <w:p w:rsidR="00EF4414" w:rsidRPr="00EF4414" w:rsidP="00EF441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devem</w:t>
      </w: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atuar em consonância com o interesse público e o ordenamento jurídico.</w:t>
      </w:r>
    </w:p>
    <w:p w:rsidR="00EF4414" w:rsidRPr="00EF4414" w:rsidP="00497839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4414">
        <w:rPr>
          <w:rFonts w:ascii="Times New Roman" w:eastAsia="Times New Roman" w:hAnsi="Times New Roman" w:cs="Times New Roman"/>
          <w:sz w:val="24"/>
          <w:szCs w:val="24"/>
          <w:lang w:eastAsia="pt-BR"/>
        </w:rPr>
        <w:t>Esse equilíbrio fortalece a segurança das relações privadas sem suprimir a função comunitária dessas entidades.</w:t>
      </w:r>
    </w:p>
    <w:p w:rsidR="00497839" w:rsidP="00EF4414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497839" w:rsidRPr="00497839" w:rsidP="00497839">
      <w:pPr>
        <w:spacing w:before="100" w:beforeAutospacing="1" w:after="100" w:afterAutospacing="1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CONCLUSÃO</w:t>
      </w:r>
    </w:p>
    <w:p w:rsidR="00497839" w:rsidRPr="00497839" w:rsidP="00497839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de todo o exposto, as Comissões de Obras, Serviços Públicos e Atividades Privadas e de Finanças e Orçamento concluem que o </w:t>
      </w:r>
      <w:r w:rsidRPr="004978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Substitutivo nº 2 ao Projeto de Lei nº 96/2025</w:t>
      </w: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497839" w:rsidRPr="00497839" w:rsidP="0049783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Está em plena consonância com a Constituição Federal e a jurisprudência consolidada;</w:t>
      </w:r>
    </w:p>
    <w:p w:rsidR="00497839" w:rsidRPr="00497839" w:rsidP="0049783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Reforça a proteção aos direitos fundamentais de liberdade de associação e ao acesso universal a bens públicos;</w:t>
      </w:r>
    </w:p>
    <w:p w:rsidR="00497839" w:rsidRPr="00497839" w:rsidP="0049783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 distinção técnica adequada entre associações de bairro, condomínios edilícios e loteamentos com controle de acesso;</w:t>
      </w:r>
    </w:p>
    <w:p w:rsidR="00497839" w:rsidRPr="00497839" w:rsidP="0049783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Não gera impacto orçamentário direto, mas pode acarretar reflexos indiretos a serem administrados pelo Executivo;</w:t>
      </w:r>
    </w:p>
    <w:p w:rsidR="00497839" w:rsidRPr="00497839" w:rsidP="0049783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 para a segurança jurídica, para a coesão comunitária e para a correta delimitação do papel das associações de bairro no município.</w:t>
      </w:r>
    </w:p>
    <w:p w:rsidR="00497839" w:rsidRPr="00497839" w:rsidP="00497839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Assim, o parecer é pela aprovação do Substitutivo nº 2 ao Projeto de Lei nº 96/2025</w:t>
      </w:r>
      <w:r w:rsidRPr="0049783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recomendação de que o Poder Executivo acompanhe os reflexos da norma sobre a manutenção de espaços públicos e, se necessário, adote medidas de reforço estrutural e orçamentário para garantir a adequada prestação de serviços à população.</w:t>
      </w:r>
    </w:p>
    <w:p w:rsidR="00497839" w:rsidRPr="00EA4F51" w:rsidP="0049783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EA4F5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 – DECISÃO</w:t>
      </w:r>
    </w:p>
    <w:p w:rsidR="00497839" w:rsidRPr="0003179B" w:rsidP="0049783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relatoria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emite</w:t>
      </w:r>
      <w:r w:rsidRPr="006617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PARECER FAVORÁVEL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provação do</w:t>
      </w:r>
      <w:r w:rsidR="002C44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Substitutivo nº 02 ao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Projeto de Lei nº 96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97839" w:rsidRPr="00BD032E" w:rsidP="004978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497839" w:rsidP="0049783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97839" w:rsidP="0049783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497839" w:rsidP="0049783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497839" w:rsidP="0049783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P="0049783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P="0049783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 Sessões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“VEREADOR SANTO RÓTTOLI”, em 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2025.</w:t>
      </w:r>
    </w:p>
    <w:p w:rsidR="00497839" w:rsidP="0049783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P="0049783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P="0049783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P="0049783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97839" w:rsidRPr="00DC1D64" w:rsidP="00497839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497839" w:rsidRPr="002717DE" w:rsidP="0049783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497839" w:rsidP="00497839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497839" w:rsidP="00497839">
      <w:r>
        <w:br w:type="page"/>
      </w:r>
    </w:p>
    <w:p w:rsidR="00497839" w:rsidRPr="002B48CC" w:rsidP="00497839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 COMISSÃO DE OBRAS, SERVIÇOS</w:t>
      </w:r>
      <w:r>
        <w:rPr>
          <w:b/>
          <w:sz w:val="24"/>
          <w:szCs w:val="24"/>
        </w:rPr>
        <w:t xml:space="preserve"> PÚBLICOS E ATIVIDADES PRIVADAS; E COMISSÃO DE FINANÇAS E ORÇAMENTO</w:t>
      </w:r>
      <w:r w:rsidRPr="002B48CC">
        <w:rPr>
          <w:b/>
          <w:sz w:val="24"/>
          <w:szCs w:val="24"/>
        </w:rPr>
        <w:t xml:space="preserve"> REFERENTE AO </w:t>
      </w:r>
      <w:r w:rsidR="002C441E">
        <w:rPr>
          <w:b/>
          <w:sz w:val="24"/>
          <w:szCs w:val="24"/>
        </w:rPr>
        <w:t xml:space="preserve">SUBSTITUTIVO Nº 02 AO </w:t>
      </w:r>
      <w:r w:rsidR="00407B02">
        <w:rPr>
          <w:b/>
          <w:sz w:val="24"/>
          <w:szCs w:val="24"/>
        </w:rPr>
        <w:t>PROJETO DE LEI Nº 96</w:t>
      </w:r>
      <w:r w:rsidRPr="002B48CC">
        <w:rPr>
          <w:b/>
          <w:sz w:val="24"/>
          <w:szCs w:val="24"/>
        </w:rPr>
        <w:t xml:space="preserve">/2025 QUE </w:t>
      </w:r>
      <w:r w:rsidRPr="00407B02" w:rsidR="00407B02">
        <w:rPr>
          <w:b/>
          <w:i/>
          <w:sz w:val="24"/>
          <w:szCs w:val="24"/>
        </w:rPr>
        <w:t xml:space="preserve">“DISPÕE SOBRE A FACULTATIVIDADE DA PARTICIPAÇÃO E CONTRIBUIÇÃO FINANCEIRA DOS MORADORES EM ASSOCIAÇÕES DE BAIRRO NO MUNICÍPIO DE MOGI MIRIM, E DÁ OUTRAS </w:t>
      </w:r>
      <w:r w:rsidRPr="00407B02" w:rsidR="00407B02">
        <w:rPr>
          <w:b/>
          <w:i/>
          <w:sz w:val="24"/>
          <w:szCs w:val="24"/>
        </w:rPr>
        <w:t>PROVIDÊNCIAS</w:t>
      </w:r>
      <w:r w:rsidRPr="002B48CC">
        <w:rPr>
          <w:b/>
          <w:i/>
          <w:sz w:val="24"/>
          <w:szCs w:val="24"/>
        </w:rPr>
        <w:t>.”</w:t>
      </w:r>
      <w:r w:rsidRPr="002B48CC">
        <w:rPr>
          <w:iCs/>
          <w:color w:val="000000"/>
          <w:sz w:val="24"/>
          <w:szCs w:val="24"/>
        </w:rPr>
        <w:tab/>
      </w:r>
    </w:p>
    <w:p w:rsidR="00497839" w:rsidRPr="002B48CC" w:rsidP="00497839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 37 e</w:t>
      </w:r>
      <w:r w:rsidRPr="002B48CC">
        <w:rPr>
          <w:rFonts w:eastAsia="Arial"/>
          <w:color w:val="000000"/>
          <w:sz w:val="24"/>
          <w:szCs w:val="24"/>
        </w:rPr>
        <w:t xml:space="preserve"> 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Obras, Serviços Públicos e Atividades Privadas, </w:t>
      </w:r>
      <w:r>
        <w:rPr>
          <w:rFonts w:eastAsia="Arial"/>
          <w:color w:val="000000"/>
          <w:sz w:val="24"/>
          <w:szCs w:val="24"/>
        </w:rPr>
        <w:t xml:space="preserve">conjuntamente com a Comissão de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497839" w:rsidRPr="002B48CC" w:rsidP="00497839">
      <w:pPr>
        <w:pStyle w:val="Standard"/>
        <w:spacing w:line="276" w:lineRule="auto"/>
        <w:jc w:val="both"/>
        <w:rPr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407B02">
        <w:rPr>
          <w:b/>
          <w:iCs/>
          <w:sz w:val="24"/>
          <w:szCs w:val="24"/>
        </w:rPr>
        <w:t>ões, 24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setembro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497839" w:rsidRPr="002B48CC" w:rsidP="00497839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497839" w:rsidRPr="002B48CC" w:rsidP="00497839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97839" w:rsidRPr="002B48CC" w:rsidP="00497839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497839" w:rsidP="00497839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497839" w:rsidP="00497839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497839" w:rsidP="00497839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497839" w:rsidRPr="0063159B" w:rsidP="00497839">
      <w:pPr>
        <w:pStyle w:val="Textbody"/>
        <w:spacing w:line="240" w:lineRule="auto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497839" w:rsidRPr="0063159B" w:rsidP="00497839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</w:rPr>
      </w:pPr>
    </w:p>
    <w:p w:rsidR="00497839" w:rsidRPr="0063159B" w:rsidP="00497839">
      <w:pPr>
        <w:pStyle w:val="Standard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497839" w:rsidRPr="0063159B" w:rsidP="00497839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497839" w:rsidRPr="0063159B" w:rsidP="00497839">
      <w:pPr>
        <w:pStyle w:val="Standard"/>
        <w:jc w:val="center"/>
        <w:rPr>
          <w:b/>
          <w:iCs/>
          <w:sz w:val="24"/>
          <w:szCs w:val="24"/>
        </w:rPr>
      </w:pPr>
    </w:p>
    <w:p w:rsidR="00497839" w:rsidRPr="0063159B" w:rsidP="00497839">
      <w:pPr>
        <w:pStyle w:val="Standard"/>
        <w:jc w:val="center"/>
        <w:rPr>
          <w:b/>
          <w:iCs/>
          <w:sz w:val="24"/>
          <w:szCs w:val="24"/>
        </w:rPr>
      </w:pPr>
    </w:p>
    <w:p w:rsidR="00497839" w:rsidRPr="0063159B" w:rsidP="00497839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497839" w:rsidRPr="0063159B" w:rsidP="00497839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497839" w:rsidRPr="0063159B" w:rsidP="00497839">
      <w:pPr>
        <w:pStyle w:val="Standard"/>
        <w:rPr>
          <w:b/>
          <w:iCs/>
          <w:sz w:val="24"/>
          <w:szCs w:val="24"/>
        </w:rPr>
      </w:pPr>
    </w:p>
    <w:p w:rsidR="00497839" w:rsidRPr="0063159B" w:rsidP="00497839">
      <w:pPr>
        <w:pStyle w:val="Standard"/>
        <w:rPr>
          <w:b/>
          <w:iCs/>
          <w:sz w:val="24"/>
          <w:szCs w:val="24"/>
        </w:rPr>
      </w:pPr>
    </w:p>
    <w:p w:rsidR="00497839" w:rsidRPr="0063159B" w:rsidP="00497839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497839" w:rsidRPr="002C441E" w:rsidP="002C441E">
      <w:pPr>
        <w:pStyle w:val="Standard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  <w:bookmarkStart w:id="0" w:name="_GoBack"/>
      <w:bookmarkEnd w:id="0"/>
    </w:p>
    <w:sectPr w:rsidSect="00407B02">
      <w:headerReference w:type="default" r:id="rId4"/>
      <w:footerReference w:type="default" r:id="rId5"/>
      <w:pgSz w:w="11906" w:h="16838"/>
      <w:pgMar w:top="1440" w:right="1080" w:bottom="1134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B02" w:rsidRPr="00FD5E1A" w:rsidP="00407B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407B0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6E6" w:rsidRPr="00036DD8" w:rsidP="00FB76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B76E6" w:rsidRPr="00036DD8" w:rsidP="00FB76E6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FB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9A6CD0"/>
    <w:multiLevelType w:val="multilevel"/>
    <w:tmpl w:val="64AE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C3B41"/>
    <w:multiLevelType w:val="multilevel"/>
    <w:tmpl w:val="F7C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26D08"/>
    <w:multiLevelType w:val="hybridMultilevel"/>
    <w:tmpl w:val="7900876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33142C6"/>
    <w:multiLevelType w:val="multilevel"/>
    <w:tmpl w:val="AE9C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43576"/>
    <w:multiLevelType w:val="multilevel"/>
    <w:tmpl w:val="5466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E6"/>
    <w:rsid w:val="0003179B"/>
    <w:rsid w:val="00036DD8"/>
    <w:rsid w:val="00071746"/>
    <w:rsid w:val="000B683E"/>
    <w:rsid w:val="00191C34"/>
    <w:rsid w:val="00207F61"/>
    <w:rsid w:val="002717DE"/>
    <w:rsid w:val="002B48CC"/>
    <w:rsid w:val="002C441E"/>
    <w:rsid w:val="002F54CD"/>
    <w:rsid w:val="003A4702"/>
    <w:rsid w:val="00407B02"/>
    <w:rsid w:val="00497839"/>
    <w:rsid w:val="004F6FB6"/>
    <w:rsid w:val="005C7A5C"/>
    <w:rsid w:val="005F4E7D"/>
    <w:rsid w:val="0063159B"/>
    <w:rsid w:val="0066179C"/>
    <w:rsid w:val="009A41E7"/>
    <w:rsid w:val="00BC08C3"/>
    <w:rsid w:val="00BD032E"/>
    <w:rsid w:val="00DC1D64"/>
    <w:rsid w:val="00EA4F51"/>
    <w:rsid w:val="00EF4414"/>
    <w:rsid w:val="00FB76E6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139B3B-A810-4889-804E-6E1AC689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FB7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RodapChar"/>
    <w:uiPriority w:val="99"/>
    <w:unhideWhenUsed/>
    <w:rsid w:val="00FB7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B76E6"/>
  </w:style>
  <w:style w:type="paragraph" w:styleId="NoSpacing">
    <w:name w:val="No Spacing"/>
    <w:uiPriority w:val="1"/>
    <w:qFormat/>
    <w:rsid w:val="00FB76E6"/>
    <w:pPr>
      <w:spacing w:after="0" w:line="240" w:lineRule="auto"/>
    </w:pPr>
  </w:style>
  <w:style w:type="paragraph" w:customStyle="1" w:styleId="Standard">
    <w:name w:val="Standard"/>
    <w:rsid w:val="0049783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497839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1595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2025-09-24T12:27:00Z</dcterms:created>
  <dcterms:modified xsi:type="dcterms:W3CDTF">2025-09-24T14:33:00Z</dcterms:modified>
</cp:coreProperties>
</file>