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A16EC5">
        <w:rPr>
          <w:rFonts w:asciiTheme="majorHAnsi" w:hAnsiTheme="majorHAnsi" w:cstheme="majorHAnsi"/>
          <w:b/>
          <w:color w:val="000000"/>
          <w:sz w:val="24"/>
          <w:szCs w:val="24"/>
        </w:rPr>
        <w:t>1</w:t>
      </w:r>
      <w:r w:rsidR="004427D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A16EC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Complementar</w:t>
      </w:r>
      <w:r w:rsidR="004427D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Nº </w:t>
      </w:r>
      <w:r w:rsidR="00A16EC5">
        <w:rPr>
          <w:rFonts w:asciiTheme="majorHAnsi" w:hAnsiTheme="majorHAnsi" w:cstheme="majorHAnsi"/>
          <w:b/>
          <w:color w:val="000000"/>
          <w:sz w:val="24"/>
          <w:szCs w:val="24"/>
        </w:rPr>
        <w:t>14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A16EC5">
        <w:rPr>
          <w:rFonts w:asciiTheme="majorHAnsi" w:hAnsiTheme="majorHAnsi" w:cstheme="majorHAnsi"/>
          <w:b/>
          <w:color w:val="000000"/>
          <w:sz w:val="24"/>
          <w:szCs w:val="24"/>
        </w:rPr>
        <w:t>º 174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</w:t>
      </w:r>
      <w:r w:rsidR="00A16EC5">
        <w:rPr>
          <w:rFonts w:asciiTheme="majorHAnsi" w:hAnsiTheme="majorHAnsi" w:cstheme="majorHAnsi"/>
          <w:sz w:val="24"/>
          <w:szCs w:val="24"/>
        </w:rPr>
        <w:t>m</w:t>
      </w:r>
      <w:r w:rsidRPr="00D677F3"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GoBack"/>
      <w:r w:rsidRPr="005B2AFC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Pr="005B2AFC" w:rsidR="00522499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5B2AF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bookmarkEnd w:id="0"/>
      <w:r w:rsidRPr="00AB5680">
        <w:rPr>
          <w:rFonts w:asciiTheme="majorHAnsi" w:hAnsiTheme="majorHAnsi" w:cstheme="majorHAnsi"/>
          <w:color w:val="000000" w:themeColor="text1"/>
          <w:sz w:val="24"/>
          <w:szCs w:val="24"/>
        </w:rPr>
        <w:t>artigo</w:t>
      </w:r>
      <w:r w:rsidRPr="00AB5680" w:rsidR="00522499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AB568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AB5680" w:rsidR="00A16EC5">
        <w:rPr>
          <w:rFonts w:asciiTheme="majorHAnsi" w:hAnsiTheme="majorHAnsi" w:cstheme="majorHAnsi"/>
          <w:color w:val="000000" w:themeColor="text1"/>
          <w:sz w:val="24"/>
          <w:szCs w:val="24"/>
        </w:rPr>
        <w:t>35</w:t>
      </w:r>
      <w:r w:rsidR="00A16EC5">
        <w:rPr>
          <w:rFonts w:asciiTheme="majorHAnsi" w:hAnsiTheme="majorHAnsi" w:cstheme="majorHAnsi"/>
          <w:sz w:val="24"/>
          <w:szCs w:val="24"/>
        </w:rPr>
        <w:t xml:space="preserve">, </w:t>
      </w:r>
      <w:r w:rsidRPr="00D677F3">
        <w:rPr>
          <w:rFonts w:asciiTheme="majorHAnsi" w:hAnsiTheme="majorHAnsi" w:cstheme="majorHAnsi"/>
          <w:sz w:val="24"/>
          <w:szCs w:val="24"/>
        </w:rPr>
        <w:t>37</w:t>
      </w:r>
      <w:r w:rsidR="00A16EC5">
        <w:rPr>
          <w:rFonts w:asciiTheme="majorHAnsi" w:hAnsiTheme="majorHAnsi" w:cstheme="majorHAnsi"/>
          <w:sz w:val="24"/>
          <w:szCs w:val="24"/>
        </w:rPr>
        <w:t xml:space="preserve"> e 38</w:t>
      </w:r>
      <w:r w:rsidRPr="00D677F3">
        <w:rPr>
          <w:rFonts w:asciiTheme="majorHAnsi" w:hAnsiTheme="majorHAnsi" w:cstheme="majorHAnsi"/>
          <w:sz w:val="24"/>
          <w:szCs w:val="24"/>
        </w:rPr>
        <w:t xml:space="preserve"> da Resolução 276 de 09 de novembro de 2010 – Regimento Interno da Câmara Municipal, a</w:t>
      </w:r>
      <w:r w:rsidR="00A16EC5">
        <w:rPr>
          <w:rFonts w:asciiTheme="majorHAnsi" w:hAnsiTheme="majorHAnsi" w:cstheme="majorHAnsi"/>
          <w:sz w:val="24"/>
          <w:szCs w:val="24"/>
        </w:rPr>
        <w:t>s Comissões Permanentes de Justiça e Redação, de Obras, Serviços Públicos e Atividades Privadas, e</w:t>
      </w:r>
      <w:r w:rsidRPr="00D677F3">
        <w:rPr>
          <w:rFonts w:asciiTheme="majorHAnsi" w:hAnsiTheme="majorHAnsi" w:cstheme="majorHAnsi"/>
          <w:sz w:val="24"/>
          <w:szCs w:val="24"/>
        </w:rPr>
        <w:t xml:space="preserve"> de Finanças e Orçamento, emite</w:t>
      </w:r>
      <w:r w:rsidR="00A16EC5">
        <w:rPr>
          <w:rFonts w:asciiTheme="majorHAnsi" w:hAnsiTheme="majorHAnsi" w:cstheme="majorHAnsi"/>
          <w:sz w:val="24"/>
          <w:szCs w:val="24"/>
        </w:rPr>
        <w:t>m</w:t>
      </w:r>
      <w:r w:rsidRPr="00D677F3">
        <w:rPr>
          <w:rFonts w:asciiTheme="majorHAnsi" w:hAnsiTheme="majorHAnsi" w:cstheme="majorHAnsi"/>
          <w:sz w:val="24"/>
          <w:szCs w:val="24"/>
        </w:rPr>
        <w:t xml:space="preserve">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355271">
        <w:rPr>
          <w:rFonts w:asciiTheme="majorHAnsi" w:hAnsiTheme="majorHAnsi" w:cstheme="majorHAnsi"/>
          <w:sz w:val="24"/>
          <w:szCs w:val="24"/>
        </w:rPr>
        <w:t xml:space="preserve">de Lei </w:t>
      </w:r>
      <w:r w:rsidR="00A16EC5">
        <w:rPr>
          <w:rFonts w:asciiTheme="majorHAnsi" w:hAnsiTheme="majorHAnsi" w:cstheme="majorHAnsi"/>
          <w:sz w:val="24"/>
          <w:szCs w:val="24"/>
        </w:rPr>
        <w:t>Complementar nº 14</w:t>
      </w:r>
      <w:r w:rsidR="004427D7">
        <w:rPr>
          <w:rFonts w:asciiTheme="majorHAnsi" w:hAnsiTheme="majorHAnsi" w:cstheme="majorHAnsi"/>
          <w:sz w:val="24"/>
          <w:szCs w:val="24"/>
        </w:rPr>
        <w:t xml:space="preserve">/2025, de autoria </w:t>
      </w:r>
      <w:r w:rsidR="00355271">
        <w:rPr>
          <w:rFonts w:asciiTheme="majorHAnsi" w:hAnsiTheme="majorHAnsi" w:cstheme="majorHAnsi"/>
          <w:sz w:val="24"/>
          <w:szCs w:val="24"/>
        </w:rPr>
        <w:t>do Exmo.</w:t>
      </w:r>
      <w:r w:rsidR="00F21E08">
        <w:rPr>
          <w:rFonts w:asciiTheme="majorHAnsi" w:hAnsiTheme="majorHAnsi" w:cstheme="majorHAnsi"/>
          <w:sz w:val="24"/>
          <w:szCs w:val="24"/>
        </w:rPr>
        <w:t xml:space="preserve"> </w:t>
      </w:r>
      <w:r w:rsidR="00355271">
        <w:rPr>
          <w:rFonts w:asciiTheme="majorHAnsi" w:hAnsiTheme="majorHAnsi" w:cstheme="majorHAnsi"/>
          <w:sz w:val="24"/>
          <w:szCs w:val="24"/>
        </w:rPr>
        <w:t>Sr. Prefeito Municipal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F6B16" w:rsidP="00A16EC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8F6B16">
        <w:rPr>
          <w:rFonts w:asciiTheme="majorHAnsi" w:hAnsiTheme="majorHAnsi" w:cstheme="majorHAnsi"/>
          <w:sz w:val="24"/>
          <w:szCs w:val="24"/>
        </w:rPr>
        <w:t>O Exmo. Sr. Prefeito Municipal, Dr. Paulo de Oliveira e Silva, protocolou nesta Casa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Leis o Projeto de Lei nº 87/2025, que “</w:t>
      </w:r>
      <w:r w:rsidRPr="00A16EC5" w:rsidR="00A16EC5">
        <w:rPr>
          <w:rFonts w:asciiTheme="majorHAnsi" w:hAnsiTheme="majorHAnsi" w:cstheme="majorHAnsi"/>
          <w:b/>
          <w:i/>
          <w:sz w:val="24"/>
          <w:szCs w:val="24"/>
        </w:rPr>
        <w:t>DISPÕE SOBRE A INSTITUIÇÃO</w:t>
      </w:r>
      <w:r w:rsidR="00A16EC5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A16EC5" w:rsidR="00A16EC5">
        <w:rPr>
          <w:rFonts w:asciiTheme="majorHAnsi" w:hAnsiTheme="majorHAnsi" w:cstheme="majorHAnsi"/>
          <w:b/>
          <w:i/>
          <w:sz w:val="24"/>
          <w:szCs w:val="24"/>
        </w:rPr>
        <w:t>DA PLANTA GENÉRICA DE VALORES (PGV) DO MUNICÍPIO DE MOGI MIRIM, INSTITUI O</w:t>
      </w:r>
      <w:r w:rsidR="00A16EC5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A16EC5" w:rsidR="00A16EC5">
        <w:rPr>
          <w:rFonts w:asciiTheme="majorHAnsi" w:hAnsiTheme="majorHAnsi" w:cstheme="majorHAnsi"/>
          <w:b/>
          <w:i/>
          <w:sz w:val="24"/>
          <w:szCs w:val="24"/>
        </w:rPr>
        <w:t>IMPOSTO PREDIAL E TERRITORIAL URBANO (IPTU) PROGRESSIVO NO TEMPO, E DÁ</w:t>
      </w:r>
      <w:r w:rsidR="00A16EC5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A16EC5" w:rsidR="00A16EC5">
        <w:rPr>
          <w:rFonts w:asciiTheme="majorHAnsi" w:hAnsiTheme="majorHAnsi" w:cstheme="majorHAnsi"/>
          <w:b/>
          <w:i/>
          <w:sz w:val="24"/>
          <w:szCs w:val="24"/>
        </w:rPr>
        <w:t>OUTRAS PROVIDÊNCIAS."</w:t>
      </w:r>
      <w:r w:rsidRPr="00A16EC5" w:rsidR="00A16EC5">
        <w:rPr>
          <w:rFonts w:asciiTheme="majorHAnsi" w:hAnsiTheme="majorHAnsi" w:cstheme="majorHAnsi"/>
          <w:b/>
          <w:i/>
          <w:sz w:val="24"/>
          <w:szCs w:val="24"/>
        </w:rPr>
        <w:cr/>
      </w:r>
    </w:p>
    <w:p w:rsidR="00A16EC5" w:rsidP="00A16EC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</w:t>
      </w:r>
      <w:r w:rsidRPr="00A16EC5">
        <w:rPr>
          <w:rFonts w:asciiTheme="majorHAnsi" w:hAnsiTheme="majorHAnsi" w:cstheme="majorHAnsi"/>
          <w:sz w:val="24"/>
          <w:szCs w:val="24"/>
        </w:rPr>
        <w:t xml:space="preserve">propositura em tela busca obter autorização legislativa para que 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A16EC5">
        <w:rPr>
          <w:rFonts w:asciiTheme="majorHAnsi" w:hAnsiTheme="majorHAnsi" w:cstheme="majorHAnsi"/>
          <w:sz w:val="24"/>
          <w:szCs w:val="24"/>
        </w:rPr>
        <w:t xml:space="preserve"> Poder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Executivo possa realizar a atualização dos valores componentes da Planta Genérica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Valores do município de Mogi Mirim, a qual estabelece, para efeitos de apuração do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valor venal dos imóveis localizados na zona urbana ou de expansão urbana, base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cálculo do Imposto Predial e Territorial Urbano (IPTU), os valores do metro quadrado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do terreno e das edificações eventualmente construídas em sua superfície.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A16EC5" w:rsidP="00A16EC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A2D46" w:rsidP="00A16EC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A16EC5">
        <w:rPr>
          <w:rFonts w:asciiTheme="majorHAnsi" w:hAnsiTheme="majorHAnsi" w:cstheme="majorHAnsi"/>
          <w:sz w:val="24"/>
          <w:szCs w:val="24"/>
        </w:rPr>
        <w:t>O autor argumenta que a última revisão da Planta Genérica de Valores (PGV) teve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algum efeito prático no exercício de 2018, porquanto tenha sido levada a efeito apenas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para algumas regiões do município, ou seja, não teve abrangência total. Neste lapso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temporal foram aprovados diversos condomínios horizontais, parcelamentos de solo 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concessões para fechamentos de loteamentos, o que acarretou valorização imobiliária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destes e de seus entornos, tornando-se obrigatório realizar sua revisão de forma geral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6EC5">
        <w:rPr>
          <w:rFonts w:asciiTheme="majorHAnsi" w:hAnsiTheme="majorHAnsi" w:cstheme="majorHAnsi"/>
          <w:sz w:val="24"/>
          <w:szCs w:val="24"/>
        </w:rPr>
        <w:t>e irrestrita.</w:t>
      </w:r>
    </w:p>
    <w:p w:rsidR="00A16EC5" w:rsidP="00A16EC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A16EC5" w:rsidP="0026548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Conforme exposto na Mensagem nº</w:t>
      </w:r>
      <w:r w:rsidR="0026548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048/2025</w:t>
      </w:r>
      <w:r w:rsidR="00265489">
        <w:rPr>
          <w:rFonts w:asciiTheme="majorHAnsi" w:hAnsiTheme="majorHAnsi" w:cstheme="majorHAnsi"/>
          <w:sz w:val="24"/>
          <w:szCs w:val="24"/>
        </w:rPr>
        <w:t xml:space="preserve"> a</w:t>
      </w:r>
      <w:r w:rsidRPr="00265489" w:rsidR="00265489">
        <w:rPr>
          <w:rFonts w:asciiTheme="majorHAnsi" w:hAnsiTheme="majorHAnsi" w:cstheme="majorHAnsi"/>
          <w:sz w:val="24"/>
          <w:szCs w:val="24"/>
        </w:rPr>
        <w:t xml:space="preserve"> metodologia utilizada para obtenção </w:t>
      </w:r>
      <w:r w:rsidRPr="00AB5680" w:rsidR="00522499">
        <w:rPr>
          <w:rFonts w:asciiTheme="majorHAnsi" w:hAnsiTheme="majorHAnsi" w:cstheme="majorHAnsi"/>
          <w:color w:val="000000" w:themeColor="text1"/>
          <w:sz w:val="24"/>
          <w:szCs w:val="24"/>
        </w:rPr>
        <w:t>d</w:t>
      </w:r>
      <w:r w:rsidRPr="00AB5680" w:rsidR="0026548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valoração dos imóveis durante os procedimentos desta revisão baseou-se em pesquisas de mercado </w:t>
      </w:r>
      <w:r w:rsidRPr="00265489" w:rsidR="00265489">
        <w:rPr>
          <w:rFonts w:asciiTheme="majorHAnsi" w:hAnsiTheme="majorHAnsi" w:cstheme="majorHAnsi"/>
          <w:sz w:val="24"/>
          <w:szCs w:val="24"/>
        </w:rPr>
        <w:t>em sites</w:t>
      </w:r>
      <w:r w:rsidR="00265489">
        <w:rPr>
          <w:rFonts w:asciiTheme="majorHAnsi" w:hAnsiTheme="majorHAnsi" w:cstheme="majorHAnsi"/>
          <w:sz w:val="24"/>
          <w:szCs w:val="24"/>
        </w:rPr>
        <w:t xml:space="preserve"> </w:t>
      </w:r>
      <w:r w:rsidRPr="00265489" w:rsidR="00265489">
        <w:rPr>
          <w:rFonts w:asciiTheme="majorHAnsi" w:hAnsiTheme="majorHAnsi" w:cstheme="majorHAnsi"/>
          <w:sz w:val="24"/>
          <w:szCs w:val="24"/>
        </w:rPr>
        <w:t>especializados em venda de imóveis e em contato direto com corretores, buscando</w:t>
      </w:r>
      <w:r w:rsidR="00265489">
        <w:rPr>
          <w:rFonts w:asciiTheme="majorHAnsi" w:hAnsiTheme="majorHAnsi" w:cstheme="majorHAnsi"/>
          <w:sz w:val="24"/>
          <w:szCs w:val="24"/>
        </w:rPr>
        <w:t xml:space="preserve"> </w:t>
      </w:r>
      <w:r w:rsidRPr="00265489" w:rsidR="00265489">
        <w:rPr>
          <w:rFonts w:asciiTheme="majorHAnsi" w:hAnsiTheme="majorHAnsi" w:cstheme="majorHAnsi"/>
          <w:sz w:val="24"/>
          <w:szCs w:val="24"/>
        </w:rPr>
        <w:t>amostras distribuídas em todo o território do município para que fossem obtidos</w:t>
      </w:r>
      <w:r w:rsidR="00265489">
        <w:rPr>
          <w:rFonts w:asciiTheme="majorHAnsi" w:hAnsiTheme="majorHAnsi" w:cstheme="majorHAnsi"/>
          <w:sz w:val="24"/>
          <w:szCs w:val="24"/>
        </w:rPr>
        <w:t xml:space="preserve"> </w:t>
      </w:r>
      <w:r w:rsidRPr="00265489" w:rsidR="00265489">
        <w:rPr>
          <w:rFonts w:asciiTheme="majorHAnsi" w:hAnsiTheme="majorHAnsi" w:cstheme="majorHAnsi"/>
          <w:sz w:val="24"/>
          <w:szCs w:val="24"/>
        </w:rPr>
        <w:t>parâmetros suficientes para atribuir o valor de mercado final aos imóveis.</w:t>
      </w:r>
    </w:p>
    <w:p w:rsidR="00265489" w:rsidP="0026548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265489" w:rsidP="0026548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65489">
        <w:rPr>
          <w:rFonts w:asciiTheme="majorHAnsi" w:hAnsiTheme="majorHAnsi" w:cstheme="majorHAnsi"/>
          <w:sz w:val="24"/>
          <w:szCs w:val="24"/>
        </w:rPr>
        <w:t>Além disso, o projeto também trata da aplicação de alíquotas diferenciadas em razão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65489">
        <w:rPr>
          <w:rFonts w:asciiTheme="majorHAnsi" w:hAnsiTheme="majorHAnsi" w:cstheme="majorHAnsi"/>
          <w:sz w:val="24"/>
          <w:szCs w:val="24"/>
        </w:rPr>
        <w:t>da utilização do imóvel, bem como da instituição de alíquotas progressivas em razão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65489">
        <w:rPr>
          <w:rFonts w:asciiTheme="majorHAnsi" w:hAnsiTheme="majorHAnsi" w:cstheme="majorHAnsi"/>
          <w:sz w:val="24"/>
          <w:szCs w:val="24"/>
        </w:rPr>
        <w:t>do valor venal dos imóveis, num claro movimento de justiça tributária. Tem-se por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65489">
        <w:rPr>
          <w:rFonts w:asciiTheme="majorHAnsi" w:hAnsiTheme="majorHAnsi" w:cstheme="majorHAnsi"/>
          <w:sz w:val="24"/>
          <w:szCs w:val="24"/>
        </w:rPr>
        <w:t>objetivo a instituição de alíquotas progressivas para o Imposto Predial Urbano, que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65489">
        <w:rPr>
          <w:rFonts w:asciiTheme="majorHAnsi" w:hAnsiTheme="majorHAnsi" w:cstheme="majorHAnsi"/>
          <w:sz w:val="24"/>
          <w:szCs w:val="24"/>
        </w:rPr>
        <w:t>partirão de 0,35% (trinta e cinco centésimos por cento) e terão seu nível máximo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65489">
        <w:rPr>
          <w:rFonts w:asciiTheme="majorHAnsi" w:hAnsiTheme="majorHAnsi" w:cstheme="majorHAnsi"/>
          <w:sz w:val="24"/>
          <w:szCs w:val="24"/>
        </w:rPr>
        <w:t>fixado em 0,55% (cinquenta e cinco centésimos por cento), aplicadas em razão da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65489">
        <w:rPr>
          <w:rFonts w:asciiTheme="majorHAnsi" w:hAnsiTheme="majorHAnsi" w:cstheme="majorHAnsi"/>
          <w:sz w:val="24"/>
          <w:szCs w:val="24"/>
        </w:rPr>
        <w:t>progressividad</w:t>
      </w:r>
      <w:r>
        <w:rPr>
          <w:rFonts w:asciiTheme="majorHAnsi" w:hAnsiTheme="majorHAnsi" w:cstheme="majorHAnsi"/>
          <w:sz w:val="24"/>
          <w:szCs w:val="24"/>
        </w:rPr>
        <w:t xml:space="preserve">e do valor venal da construção </w:t>
      </w:r>
      <w:r w:rsidRPr="00DF735B">
        <w:rPr>
          <w:rFonts w:asciiTheme="majorHAnsi" w:hAnsiTheme="majorHAnsi" w:cstheme="majorHAnsi"/>
          <w:szCs w:val="24"/>
        </w:rPr>
        <w:t>(vide art. 9º)</w:t>
      </w:r>
      <w:r w:rsidRPr="00DF735B" w:rsidR="00DF735B">
        <w:rPr>
          <w:rFonts w:asciiTheme="majorHAnsi" w:hAnsiTheme="majorHAnsi" w:cstheme="majorHAnsi"/>
          <w:szCs w:val="24"/>
        </w:rPr>
        <w:t>.</w:t>
      </w:r>
    </w:p>
    <w:p w:rsidR="00DF735B" w:rsidP="0026548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DF735B" w:rsidP="0026548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DF735B" w:rsidP="0026548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DF735B" w:rsidP="00DF735B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projeto também prevê</w:t>
      </w:r>
      <w:r w:rsidRPr="00DF735B">
        <w:rPr>
          <w:rFonts w:asciiTheme="majorHAnsi" w:hAnsiTheme="majorHAnsi" w:cstheme="majorHAnsi"/>
          <w:sz w:val="24"/>
          <w:szCs w:val="24"/>
        </w:rPr>
        <w:t xml:space="preserve"> a aplicação de alíquota diferenciada para os terrenos </w:t>
      </w:r>
      <w:r>
        <w:rPr>
          <w:rFonts w:asciiTheme="majorHAnsi" w:hAnsiTheme="majorHAnsi" w:cstheme="majorHAnsi"/>
          <w:sz w:val="24"/>
          <w:szCs w:val="24"/>
        </w:rPr>
        <w:t>“vazios”</w:t>
      </w:r>
      <w:r w:rsidRPr="00DF735B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F735B">
        <w:rPr>
          <w:rFonts w:asciiTheme="majorHAnsi" w:hAnsiTheme="majorHAnsi" w:cstheme="majorHAnsi"/>
          <w:sz w:val="24"/>
          <w:szCs w:val="24"/>
        </w:rPr>
        <w:t>ou aqueles que, em razão de sua grande área territorial, somada com 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F735B">
        <w:rPr>
          <w:rFonts w:asciiTheme="majorHAnsi" w:hAnsiTheme="majorHAnsi" w:cstheme="majorHAnsi"/>
          <w:sz w:val="24"/>
          <w:szCs w:val="24"/>
        </w:rPr>
        <w:t>disponibilidade de infraestrutura pública nas adjacências, encontram-se</w:t>
      </w:r>
      <w:r>
        <w:rPr>
          <w:rFonts w:asciiTheme="majorHAnsi" w:hAnsiTheme="majorHAnsi" w:cstheme="majorHAnsi"/>
          <w:sz w:val="24"/>
          <w:szCs w:val="24"/>
        </w:rPr>
        <w:t xml:space="preserve"> subutilizados, fixando a alíquota em 2% </w:t>
      </w:r>
      <w:r w:rsidRPr="00DF735B">
        <w:rPr>
          <w:rFonts w:asciiTheme="majorHAnsi" w:hAnsiTheme="majorHAnsi" w:cstheme="majorHAnsi"/>
          <w:szCs w:val="24"/>
        </w:rPr>
        <w:t>(vide art. 7º</w:t>
      </w:r>
      <w:r>
        <w:rPr>
          <w:rFonts w:asciiTheme="majorHAnsi" w:hAnsiTheme="majorHAnsi" w:cstheme="majorHAnsi"/>
          <w:sz w:val="24"/>
          <w:szCs w:val="24"/>
        </w:rPr>
        <w:t>).</w:t>
      </w:r>
    </w:p>
    <w:p w:rsidR="00DF735B" w:rsidP="00DF735B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DF735B" w:rsidRPr="00D463EE" w:rsidP="00DF735B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projeto ainda trata de</w:t>
      </w:r>
      <w:r w:rsidR="00D463EE">
        <w:rPr>
          <w:rFonts w:asciiTheme="majorHAnsi" w:hAnsiTheme="majorHAnsi" w:cstheme="majorHAnsi"/>
          <w:sz w:val="24"/>
          <w:szCs w:val="24"/>
        </w:rPr>
        <w:t xml:space="preserve"> outros</w:t>
      </w:r>
      <w:r>
        <w:rPr>
          <w:rFonts w:asciiTheme="majorHAnsi" w:hAnsiTheme="majorHAnsi" w:cstheme="majorHAnsi"/>
          <w:sz w:val="24"/>
          <w:szCs w:val="24"/>
        </w:rPr>
        <w:t xml:space="preserve"> assuntos como: 1) limites para não incidência do Imposto (</w:t>
      </w:r>
      <w:r>
        <w:rPr>
          <w:rFonts w:asciiTheme="majorHAnsi" w:hAnsiTheme="majorHAnsi" w:cstheme="majorHAnsi"/>
          <w:szCs w:val="24"/>
        </w:rPr>
        <w:t>art. 14)</w:t>
      </w:r>
      <w:r>
        <w:rPr>
          <w:rFonts w:asciiTheme="majorHAnsi" w:hAnsiTheme="majorHAnsi" w:cstheme="majorHAnsi"/>
          <w:sz w:val="24"/>
          <w:szCs w:val="24"/>
        </w:rPr>
        <w:t xml:space="preserve">; 2) definição dos métodos de concessão de desconto e parcelamento </w:t>
      </w:r>
      <w:r>
        <w:rPr>
          <w:rFonts w:asciiTheme="majorHAnsi" w:hAnsiTheme="majorHAnsi" w:cstheme="majorHAnsi"/>
          <w:szCs w:val="24"/>
        </w:rPr>
        <w:t xml:space="preserve">(art.10); </w:t>
      </w:r>
      <w:r>
        <w:rPr>
          <w:rFonts w:asciiTheme="majorHAnsi" w:hAnsiTheme="majorHAnsi" w:cstheme="majorHAnsi"/>
          <w:sz w:val="24"/>
          <w:szCs w:val="24"/>
        </w:rPr>
        <w:t xml:space="preserve">3) regulamentação mais rigorosa sobre a isenção em </w:t>
      </w:r>
      <w:r w:rsidRPr="00AB568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imóveis </w:t>
      </w:r>
      <w:r w:rsidRPr="00AB5680" w:rsidR="00AB568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que possuam como atividade </w:t>
      </w:r>
      <w:r>
        <w:rPr>
          <w:rFonts w:asciiTheme="majorHAnsi" w:hAnsiTheme="majorHAnsi" w:cstheme="majorHAnsi"/>
          <w:sz w:val="24"/>
          <w:szCs w:val="24"/>
        </w:rPr>
        <w:t>exploração agropecuária (</w:t>
      </w:r>
      <w:r w:rsidRPr="00DF735B">
        <w:rPr>
          <w:rFonts w:asciiTheme="majorHAnsi" w:hAnsiTheme="majorHAnsi" w:cstheme="majorHAnsi"/>
          <w:szCs w:val="24"/>
        </w:rPr>
        <w:t>art. 28)</w:t>
      </w:r>
      <w:r>
        <w:rPr>
          <w:rFonts w:asciiTheme="majorHAnsi" w:hAnsiTheme="majorHAnsi" w:cstheme="majorHAnsi"/>
          <w:szCs w:val="24"/>
        </w:rPr>
        <w:t xml:space="preserve">; </w:t>
      </w:r>
      <w:r>
        <w:rPr>
          <w:rFonts w:asciiTheme="majorHAnsi" w:hAnsiTheme="majorHAnsi" w:cstheme="majorHAnsi"/>
          <w:sz w:val="24"/>
          <w:szCs w:val="24"/>
        </w:rPr>
        <w:t xml:space="preserve">4) </w:t>
      </w:r>
      <w:r w:rsidR="00D463EE">
        <w:rPr>
          <w:rFonts w:asciiTheme="majorHAnsi" w:hAnsiTheme="majorHAnsi" w:cstheme="majorHAnsi"/>
          <w:sz w:val="24"/>
          <w:szCs w:val="24"/>
        </w:rPr>
        <w:t>criação da Comissão Interna para Análise de Valorização Imobiliária do Município de Mogi Mirim, assim como, a definição de suas atribuições (</w:t>
      </w:r>
      <w:r w:rsidR="00D463EE">
        <w:rPr>
          <w:rFonts w:asciiTheme="majorHAnsi" w:hAnsiTheme="majorHAnsi" w:cstheme="majorHAnsi"/>
          <w:szCs w:val="24"/>
        </w:rPr>
        <w:t>a partir do art. 15).</w:t>
      </w:r>
    </w:p>
    <w:p w:rsidR="00A16EC5" w:rsidP="00A16EC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A16EC5" w:rsidRPr="00A16EC5" w:rsidP="00A16EC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A2712E" w:rsidRPr="008F6B16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8F6B16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A75542">
      <w:pPr>
        <w:pStyle w:val="NormalWeb"/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ab/>
        <w:t xml:space="preserve">Inicialmente, </w:t>
      </w:r>
      <w:r w:rsidRPr="00AB5680" w:rsidR="006D07A9">
        <w:rPr>
          <w:rFonts w:asciiTheme="majorHAnsi" w:hAnsiTheme="majorHAnsi" w:cstheme="majorHAnsi"/>
          <w:color w:val="000000" w:themeColor="text1"/>
        </w:rPr>
        <w:t xml:space="preserve">destacamos </w:t>
      </w:r>
      <w:r w:rsidRPr="00AB5680" w:rsidR="004D33A1">
        <w:rPr>
          <w:rFonts w:asciiTheme="majorHAnsi" w:hAnsiTheme="majorHAnsi" w:cstheme="majorHAnsi"/>
          <w:color w:val="000000" w:themeColor="text1"/>
        </w:rPr>
        <w:t xml:space="preserve">que </w:t>
      </w:r>
      <w:r w:rsidR="00A75542">
        <w:rPr>
          <w:rFonts w:asciiTheme="majorHAnsi" w:hAnsiTheme="majorHAnsi" w:cstheme="majorHAnsi"/>
        </w:rPr>
        <w:t xml:space="preserve">o município possui competência para legislar sobre Imposto Predial e Territorial Urbano – IPTU, </w:t>
      </w:r>
      <w:r w:rsidRPr="00A75542" w:rsidR="00A75542">
        <w:rPr>
          <w:rFonts w:asciiTheme="majorHAnsi" w:hAnsiTheme="majorHAnsi" w:cstheme="majorHAnsi"/>
        </w:rPr>
        <w:t>conforme estabelece a Constituição Federal em seu</w:t>
      </w:r>
      <w:r w:rsidR="00A75542">
        <w:rPr>
          <w:rFonts w:asciiTheme="majorHAnsi" w:hAnsiTheme="majorHAnsi" w:cstheme="majorHAnsi"/>
        </w:rPr>
        <w:t xml:space="preserve"> </w:t>
      </w:r>
      <w:r w:rsidRPr="00A75542" w:rsidR="00A75542">
        <w:rPr>
          <w:rFonts w:asciiTheme="majorHAnsi" w:hAnsiTheme="majorHAnsi" w:cstheme="majorHAnsi"/>
        </w:rPr>
        <w:t>artigo 30, incisos I e III, que confere aos municípios competência para legislar sobre</w:t>
      </w:r>
      <w:r w:rsidR="00A75542">
        <w:rPr>
          <w:rFonts w:asciiTheme="majorHAnsi" w:hAnsiTheme="majorHAnsi" w:cstheme="majorHAnsi"/>
        </w:rPr>
        <w:t xml:space="preserve"> </w:t>
      </w:r>
      <w:r w:rsidRPr="00A75542" w:rsidR="00A75542">
        <w:rPr>
          <w:rFonts w:asciiTheme="majorHAnsi" w:hAnsiTheme="majorHAnsi" w:cstheme="majorHAnsi"/>
          <w:i/>
        </w:rPr>
        <w:t>assuntos de interesse local e instituir e arrecadar os tributos</w:t>
      </w:r>
      <w:r w:rsidR="00A75542">
        <w:rPr>
          <w:rFonts w:asciiTheme="majorHAnsi" w:hAnsiTheme="majorHAnsi" w:cstheme="majorHAnsi"/>
        </w:rPr>
        <w:t>. A carta magna ainda apresenta de forma expressa a instituição do IPTU:</w:t>
      </w:r>
    </w:p>
    <w:p w:rsidR="00A75542" w:rsidP="00A7554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75542" w:rsidRP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  <w:r>
        <w:rPr>
          <w:rFonts w:asciiTheme="majorHAnsi" w:hAnsiTheme="majorHAnsi" w:cstheme="majorHAnsi"/>
          <w:i/>
          <w:sz w:val="20"/>
        </w:rPr>
        <w:t>“</w:t>
      </w:r>
      <w:r w:rsidRPr="00A75542">
        <w:rPr>
          <w:rFonts w:asciiTheme="majorHAnsi" w:hAnsiTheme="majorHAnsi" w:cstheme="majorHAnsi"/>
          <w:i/>
          <w:sz w:val="20"/>
        </w:rPr>
        <w:t>Art. 156. Compete aos Municípios instituir impostos sobre:</w:t>
      </w:r>
    </w:p>
    <w:p w:rsidR="00A75542" w:rsidRP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</w:p>
    <w:p w:rsid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  <w:r w:rsidRPr="00A75542">
        <w:rPr>
          <w:rFonts w:asciiTheme="majorHAnsi" w:hAnsiTheme="majorHAnsi" w:cstheme="majorHAnsi"/>
          <w:i/>
          <w:sz w:val="20"/>
        </w:rPr>
        <w:t xml:space="preserve">I - propriedade predial e territorial </w:t>
      </w:r>
      <w:r w:rsidRPr="00A75542">
        <w:rPr>
          <w:rFonts w:asciiTheme="majorHAnsi" w:hAnsiTheme="majorHAnsi" w:cstheme="majorHAnsi"/>
          <w:i/>
          <w:sz w:val="20"/>
        </w:rPr>
        <w:t>urbana;</w:t>
      </w:r>
      <w:r>
        <w:rPr>
          <w:rFonts w:asciiTheme="majorHAnsi" w:hAnsiTheme="majorHAnsi" w:cstheme="majorHAnsi"/>
          <w:i/>
          <w:sz w:val="20"/>
        </w:rPr>
        <w:t>”</w:t>
      </w:r>
    </w:p>
    <w:p w:rsidR="00A75542" w:rsidP="00A75542">
      <w:pPr>
        <w:pStyle w:val="NormalWeb"/>
        <w:contextualSpacing/>
        <w:jc w:val="both"/>
        <w:rPr>
          <w:rFonts w:asciiTheme="majorHAnsi" w:hAnsiTheme="majorHAnsi" w:cstheme="majorHAnsi"/>
          <w:i/>
          <w:sz w:val="20"/>
        </w:rPr>
      </w:pPr>
    </w:p>
    <w:p w:rsidR="00A75542" w:rsidP="00A75542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sz w:val="20"/>
        </w:rPr>
        <w:tab/>
      </w:r>
      <w:r>
        <w:rPr>
          <w:rFonts w:asciiTheme="majorHAnsi" w:hAnsiTheme="majorHAnsi" w:cstheme="majorHAnsi"/>
        </w:rPr>
        <w:t>Ainda do ponto de vista constitucional, a presente propositura se encontra compatível com as demais definições dispostas no mesmo artigo:</w:t>
      </w:r>
    </w:p>
    <w:p w:rsidR="00A75542" w:rsidP="00A7554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75542" w:rsidRP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  <w:r>
        <w:rPr>
          <w:rFonts w:asciiTheme="majorHAnsi" w:hAnsiTheme="majorHAnsi" w:cstheme="majorHAnsi"/>
          <w:i/>
          <w:sz w:val="20"/>
        </w:rPr>
        <w:t>“</w:t>
      </w:r>
      <w:r w:rsidRPr="00A75542">
        <w:rPr>
          <w:rFonts w:asciiTheme="majorHAnsi" w:hAnsiTheme="majorHAnsi" w:cstheme="majorHAnsi"/>
          <w:i/>
          <w:sz w:val="20"/>
        </w:rPr>
        <w:t>§ 1º [...]</w:t>
      </w:r>
    </w:p>
    <w:p w:rsid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</w:p>
    <w:p w:rsidR="00A75542" w:rsidRP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  <w:r w:rsidRPr="00A75542">
        <w:rPr>
          <w:rFonts w:asciiTheme="majorHAnsi" w:hAnsiTheme="majorHAnsi" w:cstheme="majorHAnsi"/>
          <w:i/>
          <w:sz w:val="20"/>
        </w:rPr>
        <w:t xml:space="preserve">I - </w:t>
      </w:r>
      <w:r w:rsidRPr="00A75542">
        <w:rPr>
          <w:rFonts w:asciiTheme="majorHAnsi" w:hAnsiTheme="majorHAnsi" w:cstheme="majorHAnsi"/>
          <w:i/>
          <w:sz w:val="20"/>
        </w:rPr>
        <w:t>ser</w:t>
      </w:r>
      <w:r w:rsidRPr="00A75542">
        <w:rPr>
          <w:rFonts w:asciiTheme="majorHAnsi" w:hAnsiTheme="majorHAnsi" w:cstheme="majorHAnsi"/>
          <w:i/>
          <w:sz w:val="20"/>
        </w:rPr>
        <w:t xml:space="preserve"> progressivo em razão do valor do imóvel; e (Incluído pela Emenda Constitucional nº 29, de 2000)</w:t>
      </w:r>
    </w:p>
    <w:p w:rsidR="00A75542" w:rsidRP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</w:p>
    <w:p w:rsidR="00A75542" w:rsidRP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  <w:r w:rsidRPr="00A75542">
        <w:rPr>
          <w:rFonts w:asciiTheme="majorHAnsi" w:hAnsiTheme="majorHAnsi" w:cstheme="majorHAnsi"/>
          <w:i/>
          <w:sz w:val="20"/>
        </w:rPr>
        <w:t xml:space="preserve">II - </w:t>
      </w:r>
      <w:r w:rsidRPr="00A75542">
        <w:rPr>
          <w:rFonts w:asciiTheme="majorHAnsi" w:hAnsiTheme="majorHAnsi" w:cstheme="majorHAnsi"/>
          <w:i/>
          <w:sz w:val="20"/>
        </w:rPr>
        <w:t>ter</w:t>
      </w:r>
      <w:r w:rsidRPr="00A75542">
        <w:rPr>
          <w:rFonts w:asciiTheme="majorHAnsi" w:hAnsiTheme="majorHAnsi" w:cstheme="majorHAnsi"/>
          <w:i/>
          <w:sz w:val="20"/>
        </w:rPr>
        <w:t xml:space="preserve"> alíquotas diferentes de acordo com a localização e o uso do imóvel. (Incluído pela Emenda Constitucional nº 29, de 2000)</w:t>
      </w:r>
    </w:p>
    <w:p w:rsidR="00A75542" w:rsidRP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</w:p>
    <w:p w:rsidR="00A75542" w:rsidRPr="00A75542" w:rsidP="00A75542">
      <w:pPr>
        <w:pStyle w:val="NormalWeb"/>
        <w:ind w:left="3600"/>
        <w:contextualSpacing/>
        <w:jc w:val="both"/>
        <w:rPr>
          <w:rFonts w:asciiTheme="majorHAnsi" w:hAnsiTheme="majorHAnsi" w:cstheme="majorHAnsi"/>
          <w:i/>
          <w:sz w:val="20"/>
        </w:rPr>
      </w:pPr>
      <w:r w:rsidRPr="00A75542">
        <w:rPr>
          <w:rFonts w:asciiTheme="majorHAnsi" w:hAnsiTheme="majorHAnsi" w:cstheme="majorHAnsi"/>
          <w:i/>
          <w:sz w:val="20"/>
        </w:rPr>
        <w:t xml:space="preserve">III - ter sua base de cálculo atualizada pelo Poder Executivo, conforme critérios estabelecidos em lei municipal. (Incluído pela Emenda Constitucional nº 132, de </w:t>
      </w:r>
      <w:r w:rsidRPr="00A75542">
        <w:rPr>
          <w:rFonts w:asciiTheme="majorHAnsi" w:hAnsiTheme="majorHAnsi" w:cstheme="majorHAnsi"/>
          <w:i/>
          <w:sz w:val="20"/>
        </w:rPr>
        <w:t>2023)</w:t>
      </w:r>
      <w:r>
        <w:rPr>
          <w:rFonts w:asciiTheme="majorHAnsi" w:hAnsiTheme="majorHAnsi" w:cstheme="majorHAnsi"/>
          <w:i/>
          <w:sz w:val="20"/>
        </w:rPr>
        <w:t>”</w:t>
      </w:r>
    </w:p>
    <w:p w:rsidR="00A75542" w:rsidP="00A7554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75542" w:rsidP="00A75542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 w:rsidRPr="00A75542">
        <w:rPr>
          <w:rStyle w:val="Strong"/>
          <w:rFonts w:asciiTheme="majorHAnsi" w:hAnsiTheme="majorHAnsi" w:cstheme="majorHAnsi"/>
          <w:b w:val="0"/>
        </w:rPr>
        <w:t>No âmbito municipal, a Lei Orgânica de Mogi Mirim reforça essa competência em seu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A75542">
        <w:rPr>
          <w:rStyle w:val="Strong"/>
          <w:rFonts w:asciiTheme="majorHAnsi" w:hAnsiTheme="majorHAnsi" w:cstheme="majorHAnsi"/>
          <w:b w:val="0"/>
        </w:rPr>
        <w:t>artigo 7º, inciso VII, que estabelece como competência do Município</w:t>
      </w:r>
      <w:r w:rsidRPr="00A75542">
        <w:rPr>
          <w:rStyle w:val="Strong"/>
          <w:rFonts w:asciiTheme="majorHAnsi" w:hAnsiTheme="majorHAnsi" w:cstheme="majorHAnsi"/>
          <w:b w:val="0"/>
          <w:i/>
        </w:rPr>
        <w:t xml:space="preserve"> "instituir e arrecadar tributos bem como aplicar suas rendas".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A75542">
        <w:rPr>
          <w:rStyle w:val="Strong"/>
          <w:rFonts w:asciiTheme="majorHAnsi" w:hAnsiTheme="majorHAnsi" w:cstheme="majorHAnsi"/>
          <w:b w:val="0"/>
        </w:rPr>
        <w:t>Especificamente sobre a Planta Genérica de Valores, o artigo 127 da Lei Orgânica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A75542">
        <w:rPr>
          <w:rStyle w:val="Strong"/>
          <w:rFonts w:asciiTheme="majorHAnsi" w:hAnsiTheme="majorHAnsi" w:cstheme="majorHAnsi"/>
          <w:b w:val="0"/>
        </w:rPr>
        <w:t>Municipal determina que</w:t>
      </w:r>
      <w:r>
        <w:rPr>
          <w:rStyle w:val="Strong"/>
          <w:rFonts w:asciiTheme="majorHAnsi" w:hAnsiTheme="majorHAnsi" w:cstheme="majorHAnsi"/>
          <w:b w:val="0"/>
        </w:rPr>
        <w:t>:</w:t>
      </w:r>
    </w:p>
    <w:p w:rsidR="00A75542" w:rsidP="00A75542">
      <w:pPr>
        <w:pStyle w:val="NormalWeb"/>
        <w:ind w:firstLine="36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A75542" w:rsidRPr="00A75542" w:rsidP="00A75542">
      <w:pPr>
        <w:pStyle w:val="NormalWeb"/>
        <w:ind w:left="3600"/>
        <w:contextualSpacing/>
        <w:jc w:val="both"/>
        <w:rPr>
          <w:rStyle w:val="Strong"/>
          <w:rFonts w:asciiTheme="majorHAnsi" w:hAnsiTheme="majorHAnsi" w:cstheme="majorHAnsi"/>
          <w:b w:val="0"/>
          <w:i/>
          <w:sz w:val="20"/>
        </w:rPr>
      </w:pPr>
      <w:r w:rsidRPr="00A75542">
        <w:rPr>
          <w:rStyle w:val="Strong"/>
          <w:rFonts w:asciiTheme="majorHAnsi" w:hAnsiTheme="majorHAnsi" w:cstheme="majorHAnsi"/>
          <w:b w:val="0"/>
          <w:i/>
          <w:sz w:val="20"/>
        </w:rPr>
        <w:t xml:space="preserve">“Art. 127. O Poder Executivo promoverá, pelo menos a cada dois anos, a revisão da planta genérica de valores, mediante aprovação </w:t>
      </w:r>
      <w:r w:rsidRPr="00A75542">
        <w:rPr>
          <w:rStyle w:val="Strong"/>
          <w:rFonts w:asciiTheme="majorHAnsi" w:hAnsiTheme="majorHAnsi" w:cstheme="majorHAnsi"/>
          <w:b w:val="0"/>
          <w:i/>
          <w:sz w:val="20"/>
        </w:rPr>
        <w:t>legislativa.”</w:t>
      </w:r>
    </w:p>
    <w:p w:rsidR="00A75542" w:rsidP="00A75542">
      <w:pPr>
        <w:pStyle w:val="NormalWeb"/>
        <w:ind w:firstLine="36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A75542" w:rsidP="00A75542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 xml:space="preserve"> </w:t>
      </w:r>
    </w:p>
    <w:p w:rsidR="00A75542" w:rsidP="00A75542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ab/>
        <w:t>Diante do exposto, do ponto de vista legal e constitucional, não se verifica óbices para continuidade da tramitação da proposta.</w:t>
      </w:r>
    </w:p>
    <w:p w:rsidR="00352A29" w:rsidP="00A75542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ab/>
      </w:r>
    </w:p>
    <w:p w:rsidR="00352A29" w:rsidP="00352A29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ab/>
        <w:t xml:space="preserve">Do ponto de vista orçamentário/financeiro </w:t>
      </w:r>
      <w:r w:rsidRPr="00352A29">
        <w:rPr>
          <w:rStyle w:val="Strong"/>
          <w:rFonts w:asciiTheme="majorHAnsi" w:hAnsiTheme="majorHAnsi" w:cstheme="majorHAnsi"/>
          <w:b w:val="0"/>
        </w:rPr>
        <w:t>atualização da PGV é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352A29">
        <w:rPr>
          <w:rStyle w:val="Strong"/>
          <w:rFonts w:asciiTheme="majorHAnsi" w:hAnsiTheme="majorHAnsi" w:cstheme="majorHAnsi"/>
          <w:b w:val="0"/>
        </w:rPr>
        <w:t>uma medida necessária e indispensável para refletir a real valorização imobiliária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352A29">
        <w:rPr>
          <w:rStyle w:val="Strong"/>
          <w:rFonts w:asciiTheme="majorHAnsi" w:hAnsiTheme="majorHAnsi" w:cstheme="majorHAnsi"/>
          <w:b w:val="0"/>
        </w:rPr>
        <w:t>ocorrida no município nos últimos anos, permitindo maior justiça tributária e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352A29">
        <w:rPr>
          <w:rStyle w:val="Strong"/>
          <w:rFonts w:asciiTheme="majorHAnsi" w:hAnsiTheme="majorHAnsi" w:cstheme="majorHAnsi"/>
          <w:b w:val="0"/>
        </w:rPr>
        <w:t>eficiência na arrecadação municipal.</w:t>
      </w:r>
      <w:r>
        <w:rPr>
          <w:rStyle w:val="Strong"/>
          <w:rFonts w:asciiTheme="majorHAnsi" w:hAnsiTheme="majorHAnsi" w:cstheme="majorHAnsi"/>
          <w:b w:val="0"/>
        </w:rPr>
        <w:t xml:space="preserve"> Devemos considerar que desde a última atualização, foram criados inúmeros novos parcelamentos, além de investimentos em equipamentos urbanos e demais aspectos que exercem função de valorização dos imóveis. </w:t>
      </w:r>
    </w:p>
    <w:p w:rsidR="00352A29" w:rsidP="00352A29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352A29" w:rsidP="00352A29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ab/>
        <w:t>Válido comentar</w:t>
      </w:r>
      <w:r>
        <w:rPr>
          <w:rStyle w:val="Strong"/>
          <w:rFonts w:asciiTheme="majorHAnsi" w:hAnsiTheme="majorHAnsi" w:cstheme="majorHAnsi"/>
          <w:b w:val="0"/>
        </w:rPr>
        <w:t xml:space="preserve"> a atualização do valor venal para refletir de maneira mais justa a real situação dos imóveis, quando se incluí no somatório</w:t>
      </w:r>
      <w:r w:rsidR="00A03D23">
        <w:rPr>
          <w:rStyle w:val="Strong"/>
          <w:rFonts w:asciiTheme="majorHAnsi" w:hAnsiTheme="majorHAnsi" w:cstheme="majorHAnsi"/>
          <w:b w:val="0"/>
        </w:rPr>
        <w:t xml:space="preserve"> do valor, </w:t>
      </w:r>
      <w:r>
        <w:rPr>
          <w:rStyle w:val="Strong"/>
          <w:rFonts w:asciiTheme="majorHAnsi" w:hAnsiTheme="majorHAnsi" w:cstheme="majorHAnsi"/>
          <w:b w:val="0"/>
        </w:rPr>
        <w:t xml:space="preserve">aspectos como localização do imóvel, padrão de construção, </w:t>
      </w:r>
      <w:r w:rsidR="00A03D23">
        <w:rPr>
          <w:rStyle w:val="Strong"/>
          <w:rFonts w:asciiTheme="majorHAnsi" w:hAnsiTheme="majorHAnsi" w:cstheme="majorHAnsi"/>
          <w:b w:val="0"/>
        </w:rPr>
        <w:t>tipologia do imóvel, entre outros fatores.</w:t>
      </w:r>
    </w:p>
    <w:p w:rsidR="00A03D23" w:rsidP="00352A29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A03D23" w:rsidP="00352A29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ab/>
        <w:t>O valor venal do imóvel</w:t>
      </w:r>
      <w:r w:rsidR="00CA5708">
        <w:rPr>
          <w:rStyle w:val="Strong"/>
          <w:rFonts w:asciiTheme="majorHAnsi" w:hAnsiTheme="majorHAnsi" w:cstheme="majorHAnsi"/>
          <w:b w:val="0"/>
        </w:rPr>
        <w:t xml:space="preserve"> será obtido a partir da soma do Valor Venal do Terreno e do Valor Venal da Construção – VVI = VVT + VVC.</w:t>
      </w:r>
      <w:r w:rsidR="005778C9">
        <w:rPr>
          <w:rStyle w:val="Strong"/>
          <w:rFonts w:asciiTheme="majorHAnsi" w:hAnsiTheme="majorHAnsi" w:cstheme="majorHAnsi"/>
          <w:b w:val="0"/>
        </w:rPr>
        <w:t xml:space="preserve"> Para a obtenção do VVT, serão considerados os seguintes fatores:</w:t>
      </w:r>
    </w:p>
    <w:p w:rsidR="00A03D23" w:rsidP="00352A29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A03D23" w:rsidP="00A03D23">
      <w:pPr>
        <w:pStyle w:val="NormalWeb"/>
        <w:numPr>
          <w:ilvl w:val="0"/>
          <w:numId w:val="26"/>
        </w:numPr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Área total do terreno (m²);</w:t>
      </w:r>
    </w:p>
    <w:p w:rsidR="00A03D23" w:rsidP="00A03D23">
      <w:pPr>
        <w:pStyle w:val="NormalWeb"/>
        <w:numPr>
          <w:ilvl w:val="0"/>
          <w:numId w:val="26"/>
        </w:numPr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Valor do metro quadrado da face de quadra;</w:t>
      </w:r>
    </w:p>
    <w:p w:rsidR="00A03D23" w:rsidP="00A03D23">
      <w:pPr>
        <w:pStyle w:val="NormalWeb"/>
        <w:numPr>
          <w:ilvl w:val="0"/>
          <w:numId w:val="26"/>
        </w:numPr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Fator de localização;</w:t>
      </w:r>
    </w:p>
    <w:p w:rsidR="00A03D23" w:rsidP="00A03D23">
      <w:pPr>
        <w:pStyle w:val="NormalWeb"/>
        <w:numPr>
          <w:ilvl w:val="0"/>
          <w:numId w:val="26"/>
        </w:numPr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Fator da gleba;</w:t>
      </w:r>
    </w:p>
    <w:p w:rsidR="00A03D23" w:rsidP="00A03D23">
      <w:pPr>
        <w:pStyle w:val="NormalWeb"/>
        <w:numPr>
          <w:ilvl w:val="0"/>
          <w:numId w:val="26"/>
        </w:numPr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Fatores de correção (alta tensão, alagamento, ou área de proteçã</w:t>
      </w:r>
      <w:r w:rsidR="005778C9">
        <w:rPr>
          <w:rStyle w:val="Strong"/>
          <w:rFonts w:asciiTheme="majorHAnsi" w:hAnsiTheme="majorHAnsi" w:cstheme="majorHAnsi"/>
          <w:b w:val="0"/>
        </w:rPr>
        <w:t>o ambiental).</w:t>
      </w:r>
    </w:p>
    <w:p w:rsidR="005778C9" w:rsidP="005778C9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5778C9" w:rsidP="005778C9">
      <w:pPr>
        <w:pStyle w:val="NormalWeb"/>
        <w:ind w:left="418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Para o Valor Venal da construção, serão considerados os seguintes fatores:</w:t>
      </w:r>
    </w:p>
    <w:p w:rsidR="005778C9" w:rsidP="005778C9">
      <w:pPr>
        <w:pStyle w:val="NormalWeb"/>
        <w:ind w:left="418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5778C9" w:rsidP="005778C9">
      <w:pPr>
        <w:pStyle w:val="NormalWeb"/>
        <w:numPr>
          <w:ilvl w:val="0"/>
          <w:numId w:val="29"/>
        </w:numPr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Área da construção em m²;</w:t>
      </w:r>
    </w:p>
    <w:p w:rsidR="005778C9" w:rsidP="005778C9">
      <w:pPr>
        <w:pStyle w:val="NormalWeb"/>
        <w:numPr>
          <w:ilvl w:val="0"/>
          <w:numId w:val="29"/>
        </w:numPr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Valor do m² de construção;</w:t>
      </w:r>
    </w:p>
    <w:p w:rsidR="005778C9" w:rsidP="005778C9">
      <w:pPr>
        <w:pStyle w:val="NormalWeb"/>
        <w:numPr>
          <w:ilvl w:val="0"/>
          <w:numId w:val="29"/>
        </w:numPr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Fator do estado de conservação</w:t>
      </w:r>
    </w:p>
    <w:p w:rsidR="00A03D23" w:rsidP="00A03D23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CA5708" w:rsidP="005778C9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A</w:t>
      </w:r>
      <w:r w:rsidR="005778C9">
        <w:rPr>
          <w:rStyle w:val="Strong"/>
          <w:rFonts w:asciiTheme="majorHAnsi" w:hAnsiTheme="majorHAnsi" w:cstheme="majorHAnsi"/>
          <w:b w:val="0"/>
        </w:rPr>
        <w:t>s</w:t>
      </w:r>
      <w:r>
        <w:rPr>
          <w:rStyle w:val="Strong"/>
          <w:rFonts w:asciiTheme="majorHAnsi" w:hAnsiTheme="majorHAnsi" w:cstheme="majorHAnsi"/>
          <w:b w:val="0"/>
        </w:rPr>
        <w:t xml:space="preserve"> referida</w:t>
      </w:r>
      <w:r w:rsidR="005778C9">
        <w:rPr>
          <w:rStyle w:val="Strong"/>
          <w:rFonts w:asciiTheme="majorHAnsi" w:hAnsiTheme="majorHAnsi" w:cstheme="majorHAnsi"/>
          <w:b w:val="0"/>
        </w:rPr>
        <w:t>s</w:t>
      </w:r>
      <w:r>
        <w:rPr>
          <w:rStyle w:val="Strong"/>
          <w:rFonts w:asciiTheme="majorHAnsi" w:hAnsiTheme="majorHAnsi" w:cstheme="majorHAnsi"/>
          <w:b w:val="0"/>
        </w:rPr>
        <w:t xml:space="preserve"> fórmula</w:t>
      </w:r>
      <w:r w:rsidR="005778C9">
        <w:rPr>
          <w:rStyle w:val="Strong"/>
          <w:rFonts w:asciiTheme="majorHAnsi" w:hAnsiTheme="majorHAnsi" w:cstheme="majorHAnsi"/>
          <w:b w:val="0"/>
        </w:rPr>
        <w:t>s</w:t>
      </w:r>
      <w:r>
        <w:rPr>
          <w:rStyle w:val="Strong"/>
          <w:rFonts w:asciiTheme="majorHAnsi" w:hAnsiTheme="majorHAnsi" w:cstheme="majorHAnsi"/>
          <w:b w:val="0"/>
        </w:rPr>
        <w:t>, assim como os valores de referência</w:t>
      </w:r>
      <w:r w:rsidR="005C7EAE">
        <w:rPr>
          <w:rStyle w:val="Strong"/>
          <w:rFonts w:asciiTheme="majorHAnsi" w:hAnsiTheme="majorHAnsi" w:cstheme="majorHAnsi"/>
          <w:b w:val="0"/>
        </w:rPr>
        <w:t xml:space="preserve"> e fatores de correção</w:t>
      </w:r>
      <w:r>
        <w:rPr>
          <w:rStyle w:val="Strong"/>
          <w:rFonts w:asciiTheme="majorHAnsi" w:hAnsiTheme="majorHAnsi" w:cstheme="majorHAnsi"/>
          <w:b w:val="0"/>
        </w:rPr>
        <w:t xml:space="preserve">, estão </w:t>
      </w:r>
      <w:r>
        <w:rPr>
          <w:rStyle w:val="Strong"/>
          <w:rFonts w:asciiTheme="majorHAnsi" w:hAnsiTheme="majorHAnsi" w:cstheme="majorHAnsi"/>
          <w:b w:val="0"/>
        </w:rPr>
        <w:t>dispostos</w:t>
      </w:r>
      <w:r>
        <w:rPr>
          <w:rStyle w:val="Strong"/>
          <w:rFonts w:asciiTheme="majorHAnsi" w:hAnsiTheme="majorHAnsi" w:cstheme="majorHAnsi"/>
          <w:b w:val="0"/>
        </w:rPr>
        <w:t xml:space="preserve"> nos Arts. 3º, 4º e 5º e nos anexos do projeto.</w:t>
      </w:r>
    </w:p>
    <w:p w:rsidR="005778C9" w:rsidP="005778C9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8A5057" w:rsidP="008A5057">
      <w:pPr>
        <w:pStyle w:val="NormalWeb"/>
        <w:ind w:firstLine="720"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Ressalta-se que a proposta traz uma in</w:t>
      </w:r>
      <w:r w:rsidR="005C7EAE">
        <w:rPr>
          <w:rStyle w:val="Strong"/>
          <w:rFonts w:asciiTheme="majorHAnsi" w:hAnsiTheme="majorHAnsi" w:cstheme="majorHAnsi"/>
          <w:b w:val="0"/>
        </w:rPr>
        <w:t>ovação</w:t>
      </w:r>
      <w:r>
        <w:rPr>
          <w:rStyle w:val="Strong"/>
          <w:rFonts w:asciiTheme="majorHAnsi" w:hAnsiTheme="majorHAnsi" w:cstheme="majorHAnsi"/>
          <w:b w:val="0"/>
        </w:rPr>
        <w:t xml:space="preserve"> criando um regime de alíquo</w:t>
      </w:r>
      <w:r w:rsidR="005C7EAE">
        <w:rPr>
          <w:rStyle w:val="Strong"/>
          <w:rFonts w:asciiTheme="majorHAnsi" w:hAnsiTheme="majorHAnsi" w:cstheme="majorHAnsi"/>
          <w:b w:val="0"/>
        </w:rPr>
        <w:t>tas d</w:t>
      </w:r>
      <w:r>
        <w:rPr>
          <w:rStyle w:val="Strong"/>
          <w:rFonts w:asciiTheme="majorHAnsi" w:hAnsiTheme="majorHAnsi" w:cstheme="majorHAnsi"/>
          <w:b w:val="0"/>
        </w:rPr>
        <w:t xml:space="preserve">iferenciadas para imóveis edificados e não edificados, além da instrumentalização do IPTU progressivo no tempo </w:t>
      </w:r>
      <w:r w:rsidR="00DF4E34">
        <w:rPr>
          <w:rStyle w:val="Strong"/>
          <w:rFonts w:asciiTheme="majorHAnsi" w:hAnsiTheme="majorHAnsi" w:cstheme="majorHAnsi"/>
          <w:b w:val="0"/>
        </w:rPr>
        <w:t>de maneira mais clara</w:t>
      </w:r>
      <w:r>
        <w:rPr>
          <w:rStyle w:val="Strong"/>
          <w:rFonts w:asciiTheme="majorHAnsi" w:hAnsiTheme="majorHAnsi" w:cstheme="majorHAnsi"/>
          <w:b w:val="0"/>
        </w:rPr>
        <w:t xml:space="preserve">. 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="005C7EAE">
        <w:rPr>
          <w:rStyle w:val="Strong"/>
          <w:rFonts w:asciiTheme="majorHAnsi" w:hAnsiTheme="majorHAnsi" w:cstheme="majorHAnsi"/>
          <w:b w:val="0"/>
        </w:rPr>
        <w:t>O IPTU progressivo no tempo é um instrumento de</w:t>
      </w:r>
      <w:r>
        <w:rPr>
          <w:rStyle w:val="Strong"/>
          <w:rFonts w:asciiTheme="majorHAnsi" w:hAnsiTheme="majorHAnsi" w:cstheme="majorHAnsi"/>
          <w:b w:val="0"/>
        </w:rPr>
        <w:t xml:space="preserve"> política urbana</w:t>
      </w:r>
      <w:r w:rsidR="005C7EAE">
        <w:rPr>
          <w:rStyle w:val="Strong"/>
          <w:rFonts w:asciiTheme="majorHAnsi" w:hAnsiTheme="majorHAnsi" w:cstheme="majorHAnsi"/>
          <w:b w:val="0"/>
        </w:rPr>
        <w:t xml:space="preserve"> prevista tanto na Lei Federal nº 10.257 (Estatuto da Cidade – Art.7º) quanto na Lei Complementar nº 363/2022 (Plano Diretor do Município de Mogi Mirim – art. 166). De maneira geral, estes imóveis tipicamente “territoriais” ou considerados subutilizados sofrerão o maior reajuste</w:t>
      </w:r>
      <w:r>
        <w:rPr>
          <w:rStyle w:val="Strong"/>
          <w:rFonts w:asciiTheme="majorHAnsi" w:hAnsiTheme="majorHAnsi" w:cstheme="majorHAnsi"/>
          <w:b w:val="0"/>
        </w:rPr>
        <w:t>.</w:t>
      </w:r>
    </w:p>
    <w:p w:rsidR="005C7EAE" w:rsidRPr="00CA5708" w:rsidP="008A5057">
      <w:pPr>
        <w:pStyle w:val="NormalWeb"/>
        <w:ind w:firstLine="720"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 xml:space="preserve"> C</w:t>
      </w:r>
      <w:r>
        <w:rPr>
          <w:rStyle w:val="Strong"/>
          <w:rFonts w:asciiTheme="majorHAnsi" w:hAnsiTheme="majorHAnsi" w:cstheme="majorHAnsi"/>
          <w:b w:val="0"/>
        </w:rPr>
        <w:t xml:space="preserve">aso a proposta seja aprovada, </w:t>
      </w:r>
      <w:r>
        <w:rPr>
          <w:rStyle w:val="Strong"/>
          <w:rFonts w:asciiTheme="majorHAnsi" w:hAnsiTheme="majorHAnsi" w:cstheme="majorHAnsi"/>
          <w:b w:val="0"/>
        </w:rPr>
        <w:t xml:space="preserve">os imóveis classificados como não edificados nos termos da lei, passarão a ter </w:t>
      </w:r>
      <w:r w:rsidR="00CF4294">
        <w:rPr>
          <w:rStyle w:val="Strong"/>
          <w:rFonts w:asciiTheme="majorHAnsi" w:hAnsiTheme="majorHAnsi" w:cstheme="majorHAnsi"/>
          <w:b w:val="0"/>
        </w:rPr>
        <w:t xml:space="preserve">sobre a base de </w:t>
      </w:r>
      <w:r w:rsidR="00505814">
        <w:rPr>
          <w:rStyle w:val="Strong"/>
          <w:rFonts w:asciiTheme="majorHAnsi" w:hAnsiTheme="majorHAnsi" w:cstheme="majorHAnsi"/>
          <w:b w:val="0"/>
        </w:rPr>
        <w:t>cálculo</w:t>
      </w:r>
      <w:r w:rsidR="00CF4294">
        <w:rPr>
          <w:rStyle w:val="Strong"/>
          <w:rFonts w:asciiTheme="majorHAnsi" w:hAnsiTheme="majorHAnsi" w:cstheme="majorHAnsi"/>
          <w:b w:val="0"/>
        </w:rPr>
        <w:t xml:space="preserve"> obtida na determinação do VVT, </w:t>
      </w:r>
      <w:r>
        <w:rPr>
          <w:rStyle w:val="Strong"/>
          <w:rFonts w:asciiTheme="majorHAnsi" w:hAnsiTheme="majorHAnsi" w:cstheme="majorHAnsi"/>
          <w:b w:val="0"/>
        </w:rPr>
        <w:t xml:space="preserve">a apuração do imposto com uma </w:t>
      </w:r>
      <w:r>
        <w:rPr>
          <w:rStyle w:val="Strong"/>
          <w:rFonts w:asciiTheme="majorHAnsi" w:hAnsiTheme="majorHAnsi" w:cstheme="majorHAnsi"/>
          <w:b w:val="0"/>
        </w:rPr>
        <w:t>alíquota de 2,0%, sendo este,</w:t>
      </w:r>
      <w:r w:rsidRPr="005C7EAE">
        <w:rPr>
          <w:rStyle w:val="Strong"/>
          <w:rFonts w:asciiTheme="majorHAnsi" w:hAnsiTheme="majorHAnsi" w:cstheme="majorHAnsi"/>
          <w:b w:val="0"/>
          <w:u w:val="single"/>
        </w:rPr>
        <w:t xml:space="preserve"> o principal ponto de majoração no cenário atual de cobrança de IPTU.</w:t>
      </w:r>
    </w:p>
    <w:p w:rsidR="00CF4294" w:rsidP="00DF4E3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5C7EAE" w:rsidP="00DF4E3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As</w:t>
      </w:r>
      <w:r w:rsidR="005778C9">
        <w:rPr>
          <w:rStyle w:val="Strong"/>
          <w:rFonts w:asciiTheme="majorHAnsi" w:hAnsiTheme="majorHAnsi" w:cstheme="majorHAnsi"/>
          <w:b w:val="0"/>
        </w:rPr>
        <w:t xml:space="preserve"> medidas</w:t>
      </w:r>
      <w:r>
        <w:rPr>
          <w:rStyle w:val="Strong"/>
          <w:rFonts w:asciiTheme="majorHAnsi" w:hAnsiTheme="majorHAnsi" w:cstheme="majorHAnsi"/>
          <w:b w:val="0"/>
        </w:rPr>
        <w:t xml:space="preserve"> supracitadas</w:t>
      </w:r>
      <w:r w:rsidR="005778C9">
        <w:rPr>
          <w:rStyle w:val="Strong"/>
          <w:rFonts w:asciiTheme="majorHAnsi" w:hAnsiTheme="majorHAnsi" w:cstheme="majorHAnsi"/>
          <w:b w:val="0"/>
        </w:rPr>
        <w:t xml:space="preserve"> visam contribuir para que a propriedade cumpra sua função social </w:t>
      </w:r>
      <w:r>
        <w:rPr>
          <w:rStyle w:val="Strong"/>
          <w:rFonts w:asciiTheme="majorHAnsi" w:hAnsiTheme="majorHAnsi" w:cstheme="majorHAnsi"/>
          <w:b w:val="0"/>
        </w:rPr>
        <w:t xml:space="preserve">incentivando/forçando </w:t>
      </w:r>
      <w:r w:rsidR="005778C9">
        <w:rPr>
          <w:rStyle w:val="Strong"/>
          <w:rFonts w:asciiTheme="majorHAnsi" w:hAnsiTheme="majorHAnsi" w:cstheme="majorHAnsi"/>
          <w:b w:val="0"/>
        </w:rPr>
        <w:t xml:space="preserve">o parcelamento, edificação ou utilização compulsória do imóvel, </w:t>
      </w:r>
      <w:r w:rsidR="00DF4E34">
        <w:rPr>
          <w:rStyle w:val="Strong"/>
          <w:rFonts w:asciiTheme="majorHAnsi" w:hAnsiTheme="majorHAnsi" w:cstheme="majorHAnsi"/>
          <w:b w:val="0"/>
        </w:rPr>
        <w:t xml:space="preserve">em </w:t>
      </w:r>
      <w:r>
        <w:rPr>
          <w:rStyle w:val="Strong"/>
          <w:rFonts w:asciiTheme="majorHAnsi" w:hAnsiTheme="majorHAnsi" w:cstheme="majorHAnsi"/>
          <w:b w:val="0"/>
        </w:rPr>
        <w:t>e</w:t>
      </w:r>
      <w:r w:rsidR="00DF4E34">
        <w:rPr>
          <w:rStyle w:val="Strong"/>
          <w:rFonts w:asciiTheme="majorHAnsi" w:hAnsiTheme="majorHAnsi" w:cstheme="majorHAnsi"/>
          <w:b w:val="0"/>
        </w:rPr>
        <w:t>special nas áreas centrais do município, buscando “ocupar os vazios urbanos”</w:t>
      </w:r>
      <w:r>
        <w:rPr>
          <w:rStyle w:val="Strong"/>
          <w:rFonts w:asciiTheme="majorHAnsi" w:hAnsiTheme="majorHAnsi" w:cstheme="majorHAnsi"/>
          <w:b w:val="0"/>
        </w:rPr>
        <w:t xml:space="preserve"> da cidade, onde já se encontra instalado equipamentos e infraestrutura urbana</w:t>
      </w:r>
      <w:r w:rsidR="00DF4E34">
        <w:rPr>
          <w:rStyle w:val="Strong"/>
          <w:rFonts w:asciiTheme="majorHAnsi" w:hAnsiTheme="majorHAnsi" w:cstheme="majorHAnsi"/>
          <w:b w:val="0"/>
        </w:rPr>
        <w:t xml:space="preserve">. </w:t>
      </w:r>
    </w:p>
    <w:p w:rsidR="008A5057" w:rsidP="00DF4E3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8A5057" w:rsidP="00DF4E3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  <w:sz w:val="20"/>
        </w:rPr>
      </w:pPr>
      <w:r>
        <w:rPr>
          <w:rStyle w:val="Strong"/>
          <w:rFonts w:asciiTheme="majorHAnsi" w:hAnsiTheme="majorHAnsi" w:cstheme="majorHAnsi"/>
          <w:b w:val="0"/>
        </w:rPr>
        <w:t>Destacamos como ponto importante,</w:t>
      </w:r>
      <w:r w:rsidR="005635D3">
        <w:rPr>
          <w:rStyle w:val="Strong"/>
          <w:rFonts w:asciiTheme="majorHAnsi" w:hAnsiTheme="majorHAnsi" w:cstheme="majorHAnsi"/>
          <w:b w:val="0"/>
        </w:rPr>
        <w:t xml:space="preserve"> o estabelecimento legal das concessões de desconto para o pagamento do IPTU de contribuintes adimplentes com o município, prevendo a concessão de até 10% de desconto para os pagamentos à vista</w:t>
      </w:r>
      <w:r w:rsidR="00AC4FEE">
        <w:rPr>
          <w:rStyle w:val="Strong"/>
          <w:rFonts w:asciiTheme="majorHAnsi" w:hAnsiTheme="majorHAnsi" w:cstheme="majorHAnsi"/>
          <w:b w:val="0"/>
        </w:rPr>
        <w:t xml:space="preserve"> </w:t>
      </w:r>
      <w:r w:rsidRPr="00AC4FEE" w:rsidR="00AC4FEE">
        <w:rPr>
          <w:rStyle w:val="Strong"/>
          <w:rFonts w:asciiTheme="majorHAnsi" w:hAnsiTheme="majorHAnsi" w:cstheme="majorHAnsi"/>
          <w:b w:val="0"/>
          <w:sz w:val="20"/>
        </w:rPr>
        <w:t>(art.10)</w:t>
      </w:r>
      <w:r w:rsidRPr="00AC4FEE" w:rsidR="005635D3">
        <w:rPr>
          <w:rStyle w:val="Strong"/>
          <w:rFonts w:asciiTheme="majorHAnsi" w:hAnsiTheme="majorHAnsi" w:cstheme="majorHAnsi"/>
          <w:b w:val="0"/>
          <w:sz w:val="20"/>
        </w:rPr>
        <w:t>.</w:t>
      </w:r>
      <w:r w:rsidRPr="00AC4FEE" w:rsidR="00AC4FEE">
        <w:rPr>
          <w:rStyle w:val="Strong"/>
          <w:rFonts w:asciiTheme="majorHAnsi" w:hAnsiTheme="majorHAnsi" w:cstheme="majorHAnsi"/>
          <w:b w:val="0"/>
          <w:sz w:val="20"/>
        </w:rPr>
        <w:t xml:space="preserve"> </w:t>
      </w:r>
      <w:r w:rsidR="00AC4FEE">
        <w:rPr>
          <w:rStyle w:val="Strong"/>
          <w:rFonts w:asciiTheme="majorHAnsi" w:hAnsiTheme="majorHAnsi" w:cstheme="majorHAnsi"/>
          <w:b w:val="0"/>
        </w:rPr>
        <w:t xml:space="preserve">Nesta toada a propositura também prevê </w:t>
      </w:r>
      <w:r w:rsidR="005C6F4F">
        <w:rPr>
          <w:rStyle w:val="Strong"/>
          <w:rFonts w:asciiTheme="majorHAnsi" w:hAnsiTheme="majorHAnsi" w:cstheme="majorHAnsi"/>
          <w:b w:val="0"/>
        </w:rPr>
        <w:t xml:space="preserve">em seu artigo 14, </w:t>
      </w:r>
      <w:r w:rsidRPr="00AB5680" w:rsidR="005C6F4F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o aumento </w:t>
      </w:r>
      <w:r w:rsidR="005C6F4F">
        <w:rPr>
          <w:rStyle w:val="Strong"/>
          <w:rFonts w:asciiTheme="majorHAnsi" w:hAnsiTheme="majorHAnsi" w:cstheme="majorHAnsi"/>
          <w:b w:val="0"/>
        </w:rPr>
        <w:t>do limite para a</w:t>
      </w:r>
      <w:r w:rsidR="00AC4FEE">
        <w:rPr>
          <w:rStyle w:val="Strong"/>
          <w:rFonts w:asciiTheme="majorHAnsi" w:hAnsiTheme="majorHAnsi" w:cstheme="majorHAnsi"/>
          <w:b w:val="0"/>
        </w:rPr>
        <w:t xml:space="preserve"> não incidência de IPTU, que utilizará como teto do VVI o valor R$ 90.000,00 (</w:t>
      </w:r>
      <w:r w:rsidR="00AC4FEE">
        <w:rPr>
          <w:rStyle w:val="Strong"/>
          <w:rFonts w:asciiTheme="majorHAnsi" w:hAnsiTheme="majorHAnsi" w:cstheme="majorHAnsi"/>
          <w:b w:val="0"/>
          <w:sz w:val="20"/>
        </w:rPr>
        <w:t>vide atualização na Mensagem Modificativa do autor).</w:t>
      </w:r>
    </w:p>
    <w:p w:rsidR="00AC4FEE" w:rsidP="00DF4E3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  <w:sz w:val="20"/>
        </w:rPr>
      </w:pPr>
    </w:p>
    <w:p w:rsidR="005C6F4F" w:rsidP="005C6F4F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O projeto ainda conta com a definição clara para a isenção de IPTU prevista no Código Tributário Municipal para os imóveis que possuam como atividade a exploração agrícola, pecuária ou agroindustrial, dentro do perímetro urbano, determina</w:t>
      </w:r>
      <w:r>
        <w:rPr>
          <w:rStyle w:val="Strong"/>
          <w:rFonts w:asciiTheme="majorHAnsi" w:hAnsiTheme="majorHAnsi" w:cstheme="majorHAnsi"/>
          <w:b w:val="0"/>
        </w:rPr>
        <w:t>n</w:t>
      </w:r>
      <w:r>
        <w:rPr>
          <w:rStyle w:val="Strong"/>
          <w:rFonts w:asciiTheme="majorHAnsi" w:hAnsiTheme="majorHAnsi" w:cstheme="majorHAnsi"/>
          <w:b w:val="0"/>
        </w:rPr>
        <w:t xml:space="preserve">do </w:t>
      </w:r>
      <w:r>
        <w:rPr>
          <w:rStyle w:val="Strong"/>
          <w:rFonts w:asciiTheme="majorHAnsi" w:hAnsiTheme="majorHAnsi" w:cstheme="majorHAnsi"/>
          <w:b w:val="0"/>
        </w:rPr>
        <w:t xml:space="preserve">de maneira direta </w:t>
      </w:r>
      <w:r>
        <w:rPr>
          <w:rStyle w:val="Strong"/>
          <w:rFonts w:asciiTheme="majorHAnsi" w:hAnsiTheme="majorHAnsi" w:cstheme="majorHAnsi"/>
          <w:b w:val="0"/>
        </w:rPr>
        <w:t xml:space="preserve">os critérios para obtenção do referido benefício. </w:t>
      </w:r>
      <w:r>
        <w:rPr>
          <w:rStyle w:val="Strong"/>
          <w:rFonts w:asciiTheme="majorHAnsi" w:hAnsiTheme="majorHAnsi" w:cstheme="majorHAnsi"/>
          <w:b w:val="0"/>
        </w:rPr>
        <w:t xml:space="preserve">Citamos: 1) área superior a 5.000,00 m²; 2) </w:t>
      </w:r>
      <w:r w:rsidRPr="005C6F4F">
        <w:rPr>
          <w:rStyle w:val="Strong"/>
          <w:rFonts w:asciiTheme="majorHAnsi" w:hAnsiTheme="majorHAnsi" w:cstheme="majorHAnsi"/>
          <w:b w:val="0"/>
        </w:rPr>
        <w:t>atender ao índice mínimo de 70%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5C6F4F">
        <w:rPr>
          <w:rStyle w:val="Strong"/>
          <w:rFonts w:asciiTheme="majorHAnsi" w:hAnsiTheme="majorHAnsi" w:cstheme="majorHAnsi"/>
          <w:b w:val="0"/>
        </w:rPr>
        <w:t>(setenta por cento) da média produtiva da região, com exceção da atividade pecuária, que deverá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5C6F4F">
        <w:rPr>
          <w:rStyle w:val="Strong"/>
          <w:rFonts w:asciiTheme="majorHAnsi" w:hAnsiTheme="majorHAnsi" w:cstheme="majorHAnsi"/>
          <w:b w:val="0"/>
        </w:rPr>
        <w:t>observar a lotação mínima de 02 (duas) unidades de animais de grande porte por hectare e de 07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5C6F4F">
        <w:rPr>
          <w:rStyle w:val="Strong"/>
          <w:rFonts w:asciiTheme="majorHAnsi" w:hAnsiTheme="majorHAnsi" w:cstheme="majorHAnsi"/>
          <w:b w:val="0"/>
        </w:rPr>
        <w:t>(sete) unidades de animais de pequeno porte por hectare</w:t>
      </w:r>
      <w:r>
        <w:rPr>
          <w:rStyle w:val="Strong"/>
          <w:rFonts w:asciiTheme="majorHAnsi" w:hAnsiTheme="majorHAnsi" w:cstheme="majorHAnsi"/>
          <w:b w:val="0"/>
        </w:rPr>
        <w:t xml:space="preserve">, e; 3) </w:t>
      </w:r>
      <w:r w:rsidRPr="005C6F4F">
        <w:rPr>
          <w:rStyle w:val="Strong"/>
          <w:rFonts w:asciiTheme="majorHAnsi" w:hAnsiTheme="majorHAnsi" w:cstheme="majorHAnsi"/>
          <w:b w:val="0"/>
        </w:rPr>
        <w:t>que ao menos 80% (oitenta por cento) do total da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5C6F4F">
        <w:rPr>
          <w:rStyle w:val="Strong"/>
          <w:rFonts w:asciiTheme="majorHAnsi" w:hAnsiTheme="majorHAnsi" w:cstheme="majorHAnsi"/>
          <w:b w:val="0"/>
        </w:rPr>
        <w:t>área aproveitável do imóvel se destine às finalidades estabelecidas</w:t>
      </w:r>
      <w:r>
        <w:rPr>
          <w:rStyle w:val="Strong"/>
          <w:rFonts w:asciiTheme="majorHAnsi" w:hAnsiTheme="majorHAnsi" w:cstheme="majorHAnsi"/>
          <w:b w:val="0"/>
        </w:rPr>
        <w:t>.</w:t>
      </w:r>
    </w:p>
    <w:p w:rsidR="005C6F4F" w:rsidP="00DF4E3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AC4FEE" w:rsidP="00DF4E3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 xml:space="preserve">Válido comentar </w:t>
      </w:r>
      <w:r w:rsidR="005C6F4F">
        <w:rPr>
          <w:rStyle w:val="Strong"/>
          <w:rFonts w:asciiTheme="majorHAnsi" w:hAnsiTheme="majorHAnsi" w:cstheme="majorHAnsi"/>
          <w:b w:val="0"/>
        </w:rPr>
        <w:t>que neste tema</w:t>
      </w:r>
      <w:r>
        <w:rPr>
          <w:rStyle w:val="Strong"/>
          <w:rFonts w:asciiTheme="majorHAnsi" w:hAnsiTheme="majorHAnsi" w:cstheme="majorHAnsi"/>
          <w:b w:val="0"/>
        </w:rPr>
        <w:t xml:space="preserve"> o autor busca conceder o benefício a </w:t>
      </w:r>
      <w:r w:rsidR="005C6F4F">
        <w:rPr>
          <w:rStyle w:val="Strong"/>
          <w:rFonts w:asciiTheme="majorHAnsi" w:hAnsiTheme="majorHAnsi" w:cstheme="majorHAnsi"/>
          <w:b w:val="0"/>
        </w:rPr>
        <w:t xml:space="preserve">quem </w:t>
      </w:r>
      <w:r>
        <w:rPr>
          <w:rStyle w:val="Strong"/>
          <w:rFonts w:asciiTheme="majorHAnsi" w:hAnsiTheme="majorHAnsi" w:cstheme="majorHAnsi"/>
          <w:b w:val="0"/>
        </w:rPr>
        <w:t xml:space="preserve">realmente exerce a atividade econômica tipificada de forma rentável, aproveitando ao máximo o imóvel para a atividade fim. </w:t>
      </w:r>
      <w:r w:rsidR="00400C46">
        <w:rPr>
          <w:rStyle w:val="Strong"/>
          <w:rFonts w:asciiTheme="majorHAnsi" w:hAnsiTheme="majorHAnsi" w:cstheme="majorHAnsi"/>
          <w:b w:val="0"/>
        </w:rPr>
        <w:t>Desta forma,</w:t>
      </w:r>
      <w:r>
        <w:rPr>
          <w:rStyle w:val="Strong"/>
          <w:rFonts w:asciiTheme="majorHAnsi" w:hAnsiTheme="majorHAnsi" w:cstheme="majorHAnsi"/>
          <w:b w:val="0"/>
        </w:rPr>
        <w:t xml:space="preserve"> evitará a </w:t>
      </w:r>
      <w:r w:rsidR="00400C46">
        <w:rPr>
          <w:rStyle w:val="Strong"/>
          <w:rFonts w:asciiTheme="majorHAnsi" w:hAnsiTheme="majorHAnsi" w:cstheme="majorHAnsi"/>
          <w:b w:val="0"/>
        </w:rPr>
        <w:t>concessão de benefício de maneira desproporcional ou indevida, favorecendo o proprietário que realmente merece.</w:t>
      </w:r>
    </w:p>
    <w:p w:rsidR="00400C46" w:rsidP="00DF4E3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CF4294" w:rsidP="00CF429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Evidenciamos</w:t>
      </w:r>
      <w:r w:rsidR="00400C46">
        <w:rPr>
          <w:rStyle w:val="Strong"/>
          <w:rFonts w:asciiTheme="majorHAnsi" w:hAnsiTheme="majorHAnsi" w:cstheme="majorHAnsi"/>
          <w:b w:val="0"/>
        </w:rPr>
        <w:t xml:space="preserve"> ainda, como importante medida de gestão e isonomia, a criação de uma Comissão Interna para Análise de Valorização Imobiliária</w:t>
      </w:r>
      <w:r w:rsidR="000863E6">
        <w:rPr>
          <w:rStyle w:val="Strong"/>
          <w:rFonts w:asciiTheme="majorHAnsi" w:hAnsiTheme="majorHAnsi" w:cstheme="majorHAnsi"/>
          <w:b w:val="0"/>
        </w:rPr>
        <w:t xml:space="preserve"> </w:t>
      </w:r>
      <w:r w:rsidR="00400C46">
        <w:rPr>
          <w:rStyle w:val="Strong"/>
          <w:rFonts w:asciiTheme="majorHAnsi" w:hAnsiTheme="majorHAnsi" w:cstheme="majorHAnsi"/>
          <w:b w:val="0"/>
        </w:rPr>
        <w:t>que terá caráter técnico e deliberativo, com função de dirimir eventuais distorções,</w:t>
      </w:r>
      <w:r>
        <w:rPr>
          <w:rStyle w:val="Strong"/>
          <w:rFonts w:asciiTheme="majorHAnsi" w:hAnsiTheme="majorHAnsi" w:cstheme="majorHAnsi"/>
          <w:b w:val="0"/>
        </w:rPr>
        <w:t xml:space="preserve"> propor atualizações, </w:t>
      </w:r>
      <w:r w:rsidR="00400C46">
        <w:rPr>
          <w:rStyle w:val="Strong"/>
          <w:rFonts w:asciiTheme="majorHAnsi" w:hAnsiTheme="majorHAnsi" w:cstheme="majorHAnsi"/>
          <w:b w:val="0"/>
        </w:rPr>
        <w:t xml:space="preserve">reavaliar situações quando necessário, </w:t>
      </w:r>
      <w:r>
        <w:rPr>
          <w:rStyle w:val="Strong"/>
          <w:rFonts w:asciiTheme="majorHAnsi" w:hAnsiTheme="majorHAnsi" w:cstheme="majorHAnsi"/>
          <w:b w:val="0"/>
        </w:rPr>
        <w:t xml:space="preserve">atribuir valor venal de novos imóveis oriundos de parcelamento de solo, entre outros, conforme </w:t>
      </w:r>
      <w:r w:rsidR="000863E6">
        <w:rPr>
          <w:rStyle w:val="Strong"/>
          <w:rFonts w:asciiTheme="majorHAnsi" w:hAnsiTheme="majorHAnsi" w:cstheme="majorHAnsi"/>
          <w:b w:val="0"/>
        </w:rPr>
        <w:t>detalhado</w:t>
      </w:r>
      <w:r>
        <w:rPr>
          <w:rStyle w:val="Strong"/>
          <w:rFonts w:asciiTheme="majorHAnsi" w:hAnsiTheme="majorHAnsi" w:cstheme="majorHAnsi"/>
          <w:b w:val="0"/>
        </w:rPr>
        <w:t xml:space="preserve"> no artigo 22. Consideramos uma ação importante </w:t>
      </w:r>
      <w:r w:rsidR="000863E6">
        <w:rPr>
          <w:rStyle w:val="Strong"/>
          <w:rFonts w:asciiTheme="majorHAnsi" w:hAnsiTheme="majorHAnsi" w:cstheme="majorHAnsi"/>
          <w:b w:val="0"/>
        </w:rPr>
        <w:t>que proporcionará</w:t>
      </w:r>
      <w:r>
        <w:rPr>
          <w:rStyle w:val="Strong"/>
          <w:rFonts w:asciiTheme="majorHAnsi" w:hAnsiTheme="majorHAnsi" w:cstheme="majorHAnsi"/>
          <w:b w:val="0"/>
        </w:rPr>
        <w:t xml:space="preserve"> maior impessoalidade na apuração dos valores devidos, padronizar as nov</w:t>
      </w:r>
      <w:r w:rsidR="000863E6">
        <w:rPr>
          <w:rStyle w:val="Strong"/>
          <w:rFonts w:asciiTheme="majorHAnsi" w:hAnsiTheme="majorHAnsi" w:cstheme="majorHAnsi"/>
          <w:b w:val="0"/>
        </w:rPr>
        <w:t xml:space="preserve">as majorações com base técnica e </w:t>
      </w:r>
      <w:r>
        <w:rPr>
          <w:rStyle w:val="Strong"/>
          <w:rFonts w:asciiTheme="majorHAnsi" w:hAnsiTheme="majorHAnsi" w:cstheme="majorHAnsi"/>
          <w:b w:val="0"/>
        </w:rPr>
        <w:t>trazer maior transparência e tecnicidade à matéria.</w:t>
      </w:r>
    </w:p>
    <w:p w:rsidR="00CF4294" w:rsidP="00CF429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505814" w:rsidP="00CF429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 xml:space="preserve">No que tange os imóveis </w:t>
      </w:r>
      <w:r>
        <w:rPr>
          <w:rStyle w:val="Strong"/>
          <w:rFonts w:asciiTheme="majorHAnsi" w:hAnsiTheme="majorHAnsi" w:cstheme="majorHAnsi"/>
          <w:b w:val="0"/>
        </w:rPr>
        <w:t>incluídos especificamente em perímetros determinados como Zona Predominantemente Industrial – ZPI pelo Plano Diretor do município terão fixada</w:t>
      </w:r>
      <w:r w:rsidR="00DF5636">
        <w:rPr>
          <w:rStyle w:val="Strong"/>
          <w:rFonts w:asciiTheme="majorHAnsi" w:hAnsiTheme="majorHAnsi" w:cstheme="majorHAnsi"/>
          <w:b w:val="0"/>
        </w:rPr>
        <w:t>s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="00DF5636">
        <w:rPr>
          <w:rStyle w:val="Strong"/>
          <w:rFonts w:asciiTheme="majorHAnsi" w:hAnsiTheme="majorHAnsi" w:cstheme="majorHAnsi"/>
          <w:b w:val="0"/>
        </w:rPr>
        <w:t xml:space="preserve">a alíquota de 0,40% </w:t>
      </w:r>
      <w:r w:rsidRPr="00DF5636" w:rsidR="00DF5636">
        <w:rPr>
          <w:rStyle w:val="Strong"/>
          <w:rFonts w:asciiTheme="majorHAnsi" w:hAnsiTheme="majorHAnsi" w:cstheme="majorHAnsi"/>
          <w:b w:val="0"/>
          <w:sz w:val="20"/>
        </w:rPr>
        <w:t>(mensagem modificativa do autor</w:t>
      </w:r>
      <w:r w:rsidR="00DF5636">
        <w:rPr>
          <w:rStyle w:val="Strong"/>
          <w:rFonts w:asciiTheme="majorHAnsi" w:hAnsiTheme="majorHAnsi" w:cstheme="majorHAnsi"/>
          <w:b w:val="0"/>
        </w:rPr>
        <w:t>).</w:t>
      </w:r>
    </w:p>
    <w:p w:rsidR="00505814" w:rsidP="00CF429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7E796A" w:rsidP="00CF429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Consideramos importante pontuar</w:t>
      </w:r>
      <w:r>
        <w:rPr>
          <w:rStyle w:val="Strong"/>
          <w:rFonts w:asciiTheme="majorHAnsi" w:hAnsiTheme="majorHAnsi" w:cstheme="majorHAnsi"/>
          <w:b w:val="0"/>
        </w:rPr>
        <w:t xml:space="preserve"> também, que a propositura buscou criar critérios objetivos e definidos para eventuais atualizações da Planta Genérica de Valores </w:t>
      </w:r>
      <w:r w:rsidRPr="007E796A">
        <w:rPr>
          <w:rStyle w:val="Strong"/>
          <w:rFonts w:asciiTheme="majorHAnsi" w:hAnsiTheme="majorHAnsi" w:cstheme="majorHAnsi"/>
          <w:b w:val="0"/>
          <w:sz w:val="20"/>
        </w:rPr>
        <w:t xml:space="preserve">(art. 11), </w:t>
      </w:r>
      <w:r>
        <w:rPr>
          <w:rStyle w:val="Strong"/>
          <w:rFonts w:asciiTheme="majorHAnsi" w:hAnsiTheme="majorHAnsi" w:cstheme="majorHAnsi"/>
          <w:b w:val="0"/>
        </w:rPr>
        <w:t xml:space="preserve">além da típica atualização monetária anual, com base no Índice de Preços ao Consumidor Amplo (IPCA), o que trará maior confiabilidade e fundamentação para possíveis atualizações. Neste quesito, destacamos que o autor apresentou </w:t>
      </w:r>
      <w:r w:rsidR="00DF5636">
        <w:rPr>
          <w:rStyle w:val="Strong"/>
          <w:rFonts w:asciiTheme="majorHAnsi" w:hAnsiTheme="majorHAnsi" w:cstheme="majorHAnsi"/>
          <w:b w:val="0"/>
        </w:rPr>
        <w:t xml:space="preserve">uma mensagem modificativa prevendo que excepcionalmente para o exercício de 2026, não haverá a correção monetária anual, levando em consideração que a propositura ora </w:t>
      </w:r>
      <w:r w:rsidRPr="00AB5680" w:rsidR="00AB5680">
        <w:rPr>
          <w:rStyle w:val="Strong"/>
          <w:rFonts w:asciiTheme="majorHAnsi" w:hAnsiTheme="majorHAnsi" w:cstheme="majorHAnsi"/>
          <w:b w:val="0"/>
          <w:color w:val="000000" w:themeColor="text1"/>
        </w:rPr>
        <w:t>em análise</w:t>
      </w:r>
      <w:r w:rsidRPr="00AB5680" w:rsidR="00DF5636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, já acarretará eventualmente um aumento </w:t>
      </w:r>
      <w:r w:rsidRPr="00AB5680" w:rsidR="00DF5636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significativo em alguns casos, evitando, portanto, </w:t>
      </w:r>
      <w:r w:rsidR="00DF5636">
        <w:rPr>
          <w:rStyle w:val="Strong"/>
          <w:rFonts w:asciiTheme="majorHAnsi" w:hAnsiTheme="majorHAnsi" w:cstheme="majorHAnsi"/>
          <w:b w:val="0"/>
        </w:rPr>
        <w:t xml:space="preserve">uma sobrecarga de valores ao contribuinte logo no primeiro ano de vigência da PGV. </w:t>
      </w:r>
    </w:p>
    <w:p w:rsidR="005C6F4F" w:rsidP="00CF429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5C6F4F" w:rsidP="005C6F4F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ab/>
        <w:t xml:space="preserve"> A proposta também faz previsão para os casos de novos parcelamentos, com lotes resultantes </w:t>
      </w:r>
      <w:r w:rsidR="00C76113">
        <w:rPr>
          <w:rStyle w:val="Strong"/>
          <w:rFonts w:asciiTheme="majorHAnsi" w:hAnsiTheme="majorHAnsi" w:cstheme="majorHAnsi"/>
          <w:b w:val="0"/>
        </w:rPr>
        <w:t xml:space="preserve">de empreendimentos imobiliários, onde será possível durante dois exercícios </w:t>
      </w:r>
      <w:r w:rsidR="00312731">
        <w:rPr>
          <w:rStyle w:val="Strong"/>
          <w:rFonts w:asciiTheme="majorHAnsi" w:hAnsiTheme="majorHAnsi" w:cstheme="majorHAnsi"/>
          <w:b w:val="0"/>
        </w:rPr>
        <w:t>subse</w:t>
      </w:r>
      <w:r w:rsidR="00B63188">
        <w:rPr>
          <w:rStyle w:val="Strong"/>
          <w:rFonts w:asciiTheme="majorHAnsi" w:hAnsiTheme="majorHAnsi" w:cstheme="majorHAnsi"/>
          <w:b w:val="0"/>
        </w:rPr>
        <w:t>quentes ao registro imobiliário</w:t>
      </w:r>
      <w:r w:rsidR="00312731">
        <w:rPr>
          <w:rStyle w:val="Strong"/>
          <w:rFonts w:asciiTheme="majorHAnsi" w:hAnsiTheme="majorHAnsi" w:cstheme="majorHAnsi"/>
          <w:b w:val="0"/>
        </w:rPr>
        <w:t xml:space="preserve">, a redução de até 90% do valor de lançamento do imposto </w:t>
      </w:r>
      <w:r w:rsidRPr="00312731" w:rsidR="00312731">
        <w:rPr>
          <w:rStyle w:val="Strong"/>
          <w:rFonts w:asciiTheme="majorHAnsi" w:hAnsiTheme="majorHAnsi" w:cstheme="majorHAnsi"/>
          <w:b w:val="0"/>
          <w:sz w:val="20"/>
        </w:rPr>
        <w:t>(mensagem modificativa do autor – original previa 50%)</w:t>
      </w:r>
      <w:r w:rsidR="00312731">
        <w:rPr>
          <w:rStyle w:val="Strong"/>
          <w:rFonts w:asciiTheme="majorHAnsi" w:hAnsiTheme="majorHAnsi" w:cstheme="majorHAnsi"/>
          <w:b w:val="0"/>
          <w:sz w:val="20"/>
        </w:rPr>
        <w:t>.</w:t>
      </w:r>
    </w:p>
    <w:p w:rsidR="005C6F4F" w:rsidP="00CF4294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A75542" w:rsidP="00312731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>Em suma, consideramos tais pontos importantes para avaliação da viabilidade do projeto. É de notório entender que a revisão da PGV acarretará, em alguns casos, aumento significativo dos valores devidos , onerando o contribuinte, entretanto, devemos ponderar sobre alguns aspectos previsto</w:t>
      </w:r>
      <w:r w:rsidR="00B63188">
        <w:rPr>
          <w:rStyle w:val="Strong"/>
          <w:rFonts w:asciiTheme="majorHAnsi" w:hAnsiTheme="majorHAnsi" w:cstheme="majorHAnsi"/>
          <w:b w:val="0"/>
        </w:rPr>
        <w:t>s</w:t>
      </w:r>
      <w:r>
        <w:rPr>
          <w:rStyle w:val="Strong"/>
          <w:rFonts w:asciiTheme="majorHAnsi" w:hAnsiTheme="majorHAnsi" w:cstheme="majorHAnsi"/>
          <w:b w:val="0"/>
        </w:rPr>
        <w:t xml:space="preserve"> no projeto: 1) </w:t>
      </w:r>
      <w:r w:rsidR="00653EEC">
        <w:rPr>
          <w:rStyle w:val="Strong"/>
          <w:rFonts w:asciiTheme="majorHAnsi" w:hAnsiTheme="majorHAnsi" w:cstheme="majorHAnsi"/>
          <w:b w:val="0"/>
        </w:rPr>
        <w:t xml:space="preserve">Redistribuição </w:t>
      </w:r>
      <w:r>
        <w:rPr>
          <w:rStyle w:val="Strong"/>
          <w:rFonts w:asciiTheme="majorHAnsi" w:hAnsiTheme="majorHAnsi" w:cstheme="majorHAnsi"/>
          <w:b w:val="0"/>
        </w:rPr>
        <w:t>da carga tributária, possuindo inclusive pontos onde haverá a diminuição das alíquotas; 2)</w:t>
      </w:r>
      <w:r w:rsidR="00653EEC">
        <w:rPr>
          <w:rStyle w:val="Strong"/>
          <w:rFonts w:asciiTheme="majorHAnsi" w:hAnsiTheme="majorHAnsi" w:cstheme="majorHAnsi"/>
          <w:b w:val="0"/>
        </w:rPr>
        <w:t xml:space="preserve"> </w:t>
      </w:r>
      <w:r>
        <w:rPr>
          <w:rStyle w:val="Strong"/>
          <w:rFonts w:asciiTheme="majorHAnsi" w:hAnsiTheme="majorHAnsi" w:cstheme="majorHAnsi"/>
          <w:b w:val="0"/>
        </w:rPr>
        <w:t>Correção das</w:t>
      </w:r>
      <w:r w:rsidR="00653EEC">
        <w:rPr>
          <w:rStyle w:val="Strong"/>
          <w:rFonts w:asciiTheme="majorHAnsi" w:hAnsiTheme="majorHAnsi" w:cstheme="majorHAnsi"/>
          <w:b w:val="0"/>
        </w:rPr>
        <w:t xml:space="preserve"> distorções na apuração com alíquotas </w:t>
      </w:r>
      <w:r>
        <w:rPr>
          <w:rStyle w:val="Strong"/>
          <w:rFonts w:asciiTheme="majorHAnsi" w:hAnsiTheme="majorHAnsi" w:cstheme="majorHAnsi"/>
          <w:b w:val="0"/>
        </w:rPr>
        <w:t>diferenciadas,</w:t>
      </w:r>
      <w:r w:rsidR="00653EEC">
        <w:rPr>
          <w:rStyle w:val="Strong"/>
          <w:rFonts w:asciiTheme="majorHAnsi" w:hAnsiTheme="majorHAnsi" w:cstheme="majorHAnsi"/>
          <w:b w:val="0"/>
        </w:rPr>
        <w:t xml:space="preserve"> considerando </w:t>
      </w:r>
      <w:r>
        <w:rPr>
          <w:rStyle w:val="Strong"/>
          <w:rFonts w:asciiTheme="majorHAnsi" w:hAnsiTheme="majorHAnsi" w:cstheme="majorHAnsi"/>
          <w:b w:val="0"/>
        </w:rPr>
        <w:t xml:space="preserve">diversos fatores, como localização, valor de mercado, estado de conservação e metodologia de construção, </w:t>
      </w:r>
      <w:r>
        <w:rPr>
          <w:rStyle w:val="Strong"/>
          <w:rFonts w:asciiTheme="majorHAnsi" w:hAnsiTheme="majorHAnsi" w:cstheme="majorHAnsi"/>
          <w:b w:val="0"/>
        </w:rPr>
        <w:t>etc</w:t>
      </w:r>
      <w:r>
        <w:rPr>
          <w:rStyle w:val="Strong"/>
          <w:rFonts w:asciiTheme="majorHAnsi" w:hAnsiTheme="majorHAnsi" w:cstheme="majorHAnsi"/>
          <w:b w:val="0"/>
        </w:rPr>
        <w:t>; 3) Definição</w:t>
      </w:r>
      <w:r w:rsidR="00653EEC">
        <w:rPr>
          <w:rStyle w:val="Strong"/>
          <w:rFonts w:asciiTheme="majorHAnsi" w:hAnsiTheme="majorHAnsi" w:cstheme="majorHAnsi"/>
          <w:b w:val="0"/>
        </w:rPr>
        <w:t xml:space="preserve"> de maneira mais clara </w:t>
      </w:r>
      <w:r>
        <w:rPr>
          <w:rStyle w:val="Strong"/>
          <w:rFonts w:asciiTheme="majorHAnsi" w:hAnsiTheme="majorHAnsi" w:cstheme="majorHAnsi"/>
          <w:b w:val="0"/>
        </w:rPr>
        <w:t xml:space="preserve">os </w:t>
      </w:r>
      <w:r w:rsidR="00653EEC">
        <w:rPr>
          <w:rStyle w:val="Strong"/>
          <w:rFonts w:asciiTheme="majorHAnsi" w:hAnsiTheme="majorHAnsi" w:cstheme="majorHAnsi"/>
          <w:b w:val="0"/>
        </w:rPr>
        <w:t>benefícios e</w:t>
      </w:r>
      <w:r>
        <w:rPr>
          <w:rStyle w:val="Strong"/>
          <w:rFonts w:asciiTheme="majorHAnsi" w:hAnsiTheme="majorHAnsi" w:cstheme="majorHAnsi"/>
          <w:b w:val="0"/>
        </w:rPr>
        <w:t xml:space="preserve"> critérios de concessão; 4)</w:t>
      </w:r>
      <w:r w:rsidR="00653EEC">
        <w:rPr>
          <w:rStyle w:val="Strong"/>
          <w:rFonts w:asciiTheme="majorHAnsi" w:hAnsiTheme="majorHAnsi" w:cstheme="majorHAnsi"/>
          <w:b w:val="0"/>
        </w:rPr>
        <w:t xml:space="preserve"> </w:t>
      </w:r>
      <w:r>
        <w:rPr>
          <w:rStyle w:val="Strong"/>
          <w:rFonts w:asciiTheme="majorHAnsi" w:hAnsiTheme="majorHAnsi" w:cstheme="majorHAnsi"/>
          <w:b w:val="0"/>
        </w:rPr>
        <w:t>P</w:t>
      </w:r>
      <w:r w:rsidR="00653EEC">
        <w:rPr>
          <w:rStyle w:val="Strong"/>
          <w:rFonts w:asciiTheme="majorHAnsi" w:hAnsiTheme="majorHAnsi" w:cstheme="majorHAnsi"/>
          <w:b w:val="0"/>
        </w:rPr>
        <w:t>adroniza</w:t>
      </w:r>
      <w:r>
        <w:rPr>
          <w:rStyle w:val="Strong"/>
          <w:rFonts w:asciiTheme="majorHAnsi" w:hAnsiTheme="majorHAnsi" w:cstheme="majorHAnsi"/>
          <w:b w:val="0"/>
        </w:rPr>
        <w:t>ção</w:t>
      </w:r>
      <w:r w:rsidR="00653EEC">
        <w:rPr>
          <w:rStyle w:val="Strong"/>
          <w:rFonts w:asciiTheme="majorHAnsi" w:hAnsiTheme="majorHAnsi" w:cstheme="majorHAnsi"/>
          <w:b w:val="0"/>
        </w:rPr>
        <w:t xml:space="preserve"> </w:t>
      </w:r>
      <w:r>
        <w:rPr>
          <w:rStyle w:val="Strong"/>
          <w:rFonts w:asciiTheme="majorHAnsi" w:hAnsiTheme="majorHAnsi" w:cstheme="majorHAnsi"/>
          <w:b w:val="0"/>
        </w:rPr>
        <w:t>d</w:t>
      </w:r>
      <w:r w:rsidR="00653EEC">
        <w:rPr>
          <w:rStyle w:val="Strong"/>
          <w:rFonts w:asciiTheme="majorHAnsi" w:hAnsiTheme="majorHAnsi" w:cstheme="majorHAnsi"/>
          <w:b w:val="0"/>
        </w:rPr>
        <w:t>a forma de cobra</w:t>
      </w:r>
      <w:r>
        <w:rPr>
          <w:rStyle w:val="Strong"/>
          <w:rFonts w:asciiTheme="majorHAnsi" w:hAnsiTheme="majorHAnsi" w:cstheme="majorHAnsi"/>
          <w:b w:val="0"/>
        </w:rPr>
        <w:t>nça em novos parcelamento; 5) R</w:t>
      </w:r>
      <w:r w:rsidR="00653EEC">
        <w:rPr>
          <w:rStyle w:val="Strong"/>
          <w:rFonts w:asciiTheme="majorHAnsi" w:hAnsiTheme="majorHAnsi" w:cstheme="majorHAnsi"/>
          <w:b w:val="0"/>
        </w:rPr>
        <w:t>eforça a necessidade de uso e ocupação dos vazios urbanos</w:t>
      </w:r>
      <w:r>
        <w:rPr>
          <w:rStyle w:val="Strong"/>
          <w:rFonts w:asciiTheme="majorHAnsi" w:hAnsiTheme="majorHAnsi" w:cstheme="majorHAnsi"/>
          <w:b w:val="0"/>
        </w:rPr>
        <w:t>,</w:t>
      </w:r>
      <w:r w:rsidR="00653EEC">
        <w:rPr>
          <w:rStyle w:val="Strong"/>
          <w:rFonts w:asciiTheme="majorHAnsi" w:hAnsiTheme="majorHAnsi" w:cstheme="majorHAnsi"/>
          <w:b w:val="0"/>
        </w:rPr>
        <w:t xml:space="preserve"> solidificação da importância do imóvel cumprir sua função social</w:t>
      </w:r>
      <w:r>
        <w:rPr>
          <w:rStyle w:val="Strong"/>
          <w:rFonts w:asciiTheme="majorHAnsi" w:hAnsiTheme="majorHAnsi" w:cstheme="majorHAnsi"/>
          <w:b w:val="0"/>
        </w:rPr>
        <w:t>; 6) criação de uma Comissão Técnica pugnando pela isonomia, impessoalidade e tecnicidade.</w:t>
      </w:r>
    </w:p>
    <w:p w:rsidR="00265489" w:rsidP="00312731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9D4F58" w:rsidP="00312731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Diante de todo exposto, </w:t>
      </w:r>
      <w:r w:rsidR="00312731">
        <w:rPr>
          <w:rFonts w:asciiTheme="majorHAnsi" w:hAnsiTheme="majorHAnsi" w:cstheme="majorHAnsi"/>
        </w:rPr>
        <w:t xml:space="preserve">considerando que a propositura cumpre com os requisitos legais, </w:t>
      </w:r>
      <w:r w:rsidRPr="00D677F3">
        <w:rPr>
          <w:rFonts w:asciiTheme="majorHAnsi" w:hAnsiTheme="majorHAnsi" w:cstheme="majorHAnsi"/>
        </w:rPr>
        <w:t>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</w:t>
      </w:r>
      <w:r w:rsidR="00A33A01">
        <w:rPr>
          <w:rFonts w:asciiTheme="majorHAnsi" w:hAnsiTheme="majorHAnsi" w:cstheme="majorHAnsi"/>
        </w:rPr>
        <w:t>Durante a tramitação do processo o autor apresentou uma Mensagem Modificativa ajustando alguns pontos que considerou pertinente, que são citados no item anterior. Entretanto, durante avaliação da redação do PLC, identificamos uma incoerência entre a fórmula disposta no Art. 5º e sua legenda, com a definição dos fatores previstos no artigo anterior, necessitando de uma emenda para correção.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AB5680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24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4427D7">
        <w:rPr>
          <w:rFonts w:asciiTheme="majorHAnsi" w:hAnsiTheme="majorHAnsi" w:cstheme="majorHAnsi"/>
        </w:rPr>
        <w:t>setembro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AB5680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D677F3" w:rsidRPr="00D677F3" w:rsidP="006D07A9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6D07A9" w:rsidP="006D07A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6B31CF" w:rsidRPr="006D07A9" w:rsidP="00A33A01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PARECER CONJUNTO 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AVORÁVEL DA</w:t>
      </w:r>
      <w:r>
        <w:rPr>
          <w:rFonts w:asciiTheme="majorHAnsi" w:hAnsiTheme="majorHAnsi" w:cstheme="majorHAnsi"/>
          <w:b/>
          <w:sz w:val="24"/>
          <w:szCs w:val="24"/>
        </w:rPr>
        <w:t>S COMISSÕES DE JUSTIÇA E REDAÇÃO, OBRAS SERVIÇOS PÚBLICOS E ATIVIDADES PRIVADAS E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 xml:space="preserve">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>Seguindo o Voto exarado pela Relatora e conforme determina</w:t>
      </w:r>
      <w:r w:rsidR="00A33A01">
        <w:rPr>
          <w:rFonts w:asciiTheme="majorHAnsi" w:hAnsiTheme="majorHAnsi" w:cstheme="majorHAnsi"/>
        </w:rPr>
        <w:t>m</w:t>
      </w:r>
      <w:r w:rsidRPr="00D677F3">
        <w:rPr>
          <w:rFonts w:asciiTheme="majorHAnsi" w:hAnsiTheme="majorHAnsi" w:cstheme="majorHAnsi"/>
        </w:rPr>
        <w:t xml:space="preserve"> o</w:t>
      </w:r>
      <w:r w:rsidR="00A33A01">
        <w:rPr>
          <w:rFonts w:asciiTheme="majorHAnsi" w:hAnsiTheme="majorHAnsi" w:cstheme="majorHAnsi"/>
        </w:rPr>
        <w:t>s</w:t>
      </w:r>
      <w:r w:rsidRPr="00D677F3">
        <w:rPr>
          <w:rFonts w:asciiTheme="majorHAnsi" w:hAnsiTheme="majorHAnsi" w:cstheme="majorHAnsi"/>
        </w:rPr>
        <w:t xml:space="preserve"> artigo</w:t>
      </w:r>
      <w:r w:rsidR="00A33A01">
        <w:rPr>
          <w:rFonts w:asciiTheme="majorHAnsi" w:hAnsiTheme="majorHAnsi" w:cstheme="majorHAnsi"/>
        </w:rPr>
        <w:t>s</w:t>
      </w:r>
      <w:r w:rsidRPr="00D677F3">
        <w:rPr>
          <w:rFonts w:asciiTheme="majorHAnsi" w:hAnsiTheme="majorHAnsi" w:cstheme="majorHAnsi"/>
        </w:rPr>
        <w:t xml:space="preserve"> </w:t>
      </w:r>
      <w:r w:rsidR="00A33A01">
        <w:rPr>
          <w:rFonts w:asciiTheme="majorHAnsi" w:hAnsiTheme="majorHAnsi" w:cstheme="majorHAnsi"/>
        </w:rPr>
        <w:t xml:space="preserve">35, </w:t>
      </w:r>
      <w:r w:rsidRPr="00D677F3">
        <w:rPr>
          <w:rFonts w:asciiTheme="majorHAnsi" w:hAnsiTheme="majorHAnsi" w:cstheme="majorHAnsi"/>
        </w:rPr>
        <w:t>37</w:t>
      </w:r>
      <w:r w:rsidR="00A33A01">
        <w:rPr>
          <w:rFonts w:asciiTheme="majorHAnsi" w:hAnsiTheme="majorHAnsi" w:cstheme="majorHAnsi"/>
        </w:rPr>
        <w:t xml:space="preserve"> e 39</w:t>
      </w:r>
      <w:r w:rsidRPr="00D677F3">
        <w:rPr>
          <w:rFonts w:asciiTheme="majorHAnsi" w:hAnsiTheme="majorHAnsi" w:cstheme="majorHAnsi"/>
        </w:rPr>
        <w:t>, da Resolução Nº 276 de 09 de novembro de 2.010, a</w:t>
      </w:r>
      <w:r w:rsidR="00A33A01">
        <w:rPr>
          <w:rFonts w:asciiTheme="majorHAnsi" w:hAnsiTheme="majorHAnsi" w:cstheme="majorHAnsi"/>
        </w:rPr>
        <w:t xml:space="preserve">s </w:t>
      </w:r>
      <w:r w:rsidR="00B63188">
        <w:rPr>
          <w:rFonts w:asciiTheme="majorHAnsi" w:hAnsiTheme="majorHAnsi" w:cstheme="majorHAnsi"/>
        </w:rPr>
        <w:t>COMISSÕES DE JUSTIÇA E REDAÇÃO;</w:t>
      </w:r>
      <w:r w:rsidRPr="00A33A01" w:rsidR="00A33A01">
        <w:rPr>
          <w:rFonts w:asciiTheme="majorHAnsi" w:hAnsiTheme="majorHAnsi" w:cstheme="majorHAnsi"/>
        </w:rPr>
        <w:t xml:space="preserve"> OBRAS SERVIÇOS PÚBLICOS E ATIVIDADES PRIVADAS E DE FINANÇAS E ORÇAMENTO</w:t>
      </w:r>
      <w:r w:rsidRPr="00D677F3">
        <w:rPr>
          <w:rFonts w:asciiTheme="majorHAnsi" w:hAnsiTheme="majorHAnsi" w:cstheme="majorHAnsi"/>
        </w:rPr>
        <w:t>, formaliza</w:t>
      </w:r>
      <w:r w:rsidR="00A33A01">
        <w:rPr>
          <w:rFonts w:asciiTheme="majorHAnsi" w:hAnsiTheme="majorHAnsi" w:cstheme="majorHAnsi"/>
        </w:rPr>
        <w:t>m</w:t>
      </w:r>
      <w:r w:rsidRPr="00D677F3">
        <w:rPr>
          <w:rFonts w:asciiTheme="majorHAnsi" w:hAnsiTheme="majorHAnsi" w:cstheme="majorHAnsi"/>
        </w:rPr>
        <w:t xml:space="preserve">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A33A01">
        <w:rPr>
          <w:rFonts w:asciiTheme="majorHAnsi" w:hAnsiTheme="majorHAnsi" w:cstheme="majorHAnsi"/>
        </w:rPr>
        <w:t>missões, em 24</w:t>
      </w:r>
      <w:r w:rsidR="00637C5F">
        <w:rPr>
          <w:rFonts w:asciiTheme="majorHAnsi" w:hAnsiTheme="majorHAnsi" w:cstheme="majorHAnsi"/>
        </w:rPr>
        <w:t xml:space="preserve"> de </w:t>
      </w:r>
      <w:r w:rsidR="004427D7">
        <w:rPr>
          <w:rFonts w:asciiTheme="majorHAnsi" w:hAnsiTheme="majorHAnsi" w:cstheme="majorHAnsi"/>
        </w:rPr>
        <w:t>setembro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A33A01" w:rsidRPr="00A33A01" w:rsidP="00A33A01">
      <w:pPr>
        <w:pStyle w:val="BodyText"/>
        <w:spacing w:line="240" w:lineRule="auto"/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A33A01" w:rsidRPr="00A33A01" w:rsidP="00A33A01">
      <w:pPr>
        <w:pStyle w:val="BodyText"/>
        <w:spacing w:line="240" w:lineRule="auto"/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F660F1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OBRAS, SERVIÇOS PÚBLICOS E ATIVIDADES PRIVADAS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ADEMIR SOUZA FFLORETTI JUNIOR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WILIANS MENDES 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MARCO ANTÔNIO FRANCO</w:t>
      </w:r>
    </w:p>
    <w:p w:rsidR="00A33A01" w:rsidRPr="00A33A01" w:rsidP="00A33A01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33A01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F660F1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A33A01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A33A01">
        <w:rPr>
          <w:rFonts w:asciiTheme="majorHAnsi" w:hAnsiTheme="majorHAnsi" w:cstheme="majorHAnsi"/>
          <w:b/>
        </w:rPr>
        <w:t>VEREADORA MARA CRISTINA CHOQUETTA</w:t>
      </w:r>
    </w:p>
    <w:p w:rsidR="006B31CF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A33A01">
        <w:rPr>
          <w:rFonts w:asciiTheme="majorHAnsi" w:hAnsiTheme="majorHAnsi" w:cstheme="majorHAnsi"/>
          <w:b/>
        </w:rPr>
        <w:t>Presidente/Relatora</w:t>
      </w:r>
    </w:p>
    <w:p w:rsidR="00D75C8D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A33A01">
        <w:rPr>
          <w:rFonts w:asciiTheme="majorHAnsi" w:hAnsiTheme="majorHAnsi" w:cstheme="majorHAnsi"/>
          <w:b/>
        </w:rPr>
        <w:t>VEREADOR MÁRCIO DENER CORAN</w:t>
      </w:r>
    </w:p>
    <w:p w:rsidR="006B31CF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A33A01">
        <w:rPr>
          <w:rFonts w:asciiTheme="majorHAnsi" w:hAnsiTheme="majorHAnsi" w:cstheme="majorHAnsi"/>
          <w:b/>
        </w:rPr>
        <w:t>Vice-Presidente</w:t>
      </w:r>
    </w:p>
    <w:p w:rsidR="00D75C8D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A33A0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A33A01">
        <w:rPr>
          <w:rFonts w:asciiTheme="majorHAnsi" w:hAnsiTheme="majorHAnsi" w:cstheme="majorHAnsi"/>
          <w:b/>
        </w:rPr>
        <w:t>VEREADORA MARCOS PAULO CEGATTI</w:t>
      </w:r>
    </w:p>
    <w:p w:rsidR="006B31CF" w:rsidRPr="00A33A01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A33A01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716314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716314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716314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72A34"/>
    <w:multiLevelType w:val="hybridMultilevel"/>
    <w:tmpl w:val="8C705078"/>
    <w:lvl w:ilvl="0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F0CD9"/>
    <w:multiLevelType w:val="hybridMultilevel"/>
    <w:tmpl w:val="3B06A110"/>
    <w:lvl w:ilvl="0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9">
    <w:nsid w:val="21FC7037"/>
    <w:multiLevelType w:val="hybridMultilevel"/>
    <w:tmpl w:val="877C12FE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393C41"/>
    <w:multiLevelType w:val="hybridMultilevel"/>
    <w:tmpl w:val="81F64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C381C"/>
    <w:multiLevelType w:val="hybridMultilevel"/>
    <w:tmpl w:val="75A84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561CA"/>
    <w:multiLevelType w:val="hybridMultilevel"/>
    <w:tmpl w:val="A06A7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13"/>
  </w:num>
  <w:num w:numId="5">
    <w:abstractNumId w:val="26"/>
  </w:num>
  <w:num w:numId="6">
    <w:abstractNumId w:val="28"/>
  </w:num>
  <w:num w:numId="7">
    <w:abstractNumId w:val="5"/>
  </w:num>
  <w:num w:numId="8">
    <w:abstractNumId w:val="16"/>
  </w:num>
  <w:num w:numId="9">
    <w:abstractNumId w:val="12"/>
  </w:num>
  <w:num w:numId="10">
    <w:abstractNumId w:val="11"/>
  </w:num>
  <w:num w:numId="11">
    <w:abstractNumId w:val="7"/>
  </w:num>
  <w:num w:numId="12">
    <w:abstractNumId w:val="20"/>
  </w:num>
  <w:num w:numId="13">
    <w:abstractNumId w:val="0"/>
  </w:num>
  <w:num w:numId="14">
    <w:abstractNumId w:val="4"/>
  </w:num>
  <w:num w:numId="15">
    <w:abstractNumId w:val="25"/>
  </w:num>
  <w:num w:numId="16">
    <w:abstractNumId w:val="17"/>
  </w:num>
  <w:num w:numId="17">
    <w:abstractNumId w:val="24"/>
  </w:num>
  <w:num w:numId="18">
    <w:abstractNumId w:val="6"/>
  </w:num>
  <w:num w:numId="19">
    <w:abstractNumId w:val="3"/>
  </w:num>
  <w:num w:numId="20">
    <w:abstractNumId w:val="22"/>
  </w:num>
  <w:num w:numId="21">
    <w:abstractNumId w:val="21"/>
  </w:num>
  <w:num w:numId="22">
    <w:abstractNumId w:val="27"/>
  </w:num>
  <w:num w:numId="23">
    <w:abstractNumId w:val="10"/>
  </w:num>
  <w:num w:numId="24">
    <w:abstractNumId w:val="23"/>
  </w:num>
  <w:num w:numId="25">
    <w:abstractNumId w:val="18"/>
  </w:num>
  <w:num w:numId="26">
    <w:abstractNumId w:val="9"/>
  </w:num>
  <w:num w:numId="27">
    <w:abstractNumId w:val="8"/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863E6"/>
    <w:rsid w:val="00092E53"/>
    <w:rsid w:val="00096F36"/>
    <w:rsid w:val="000A1BE0"/>
    <w:rsid w:val="000A732D"/>
    <w:rsid w:val="000B1C6D"/>
    <w:rsid w:val="000C4A24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65489"/>
    <w:rsid w:val="00297379"/>
    <w:rsid w:val="002A2BD3"/>
    <w:rsid w:val="002A648D"/>
    <w:rsid w:val="002B5A45"/>
    <w:rsid w:val="002B71AC"/>
    <w:rsid w:val="002C0A99"/>
    <w:rsid w:val="002D1078"/>
    <w:rsid w:val="002E3052"/>
    <w:rsid w:val="002F3157"/>
    <w:rsid w:val="002F589A"/>
    <w:rsid w:val="003121C8"/>
    <w:rsid w:val="00312731"/>
    <w:rsid w:val="00314B47"/>
    <w:rsid w:val="003200AF"/>
    <w:rsid w:val="00322469"/>
    <w:rsid w:val="00346786"/>
    <w:rsid w:val="00352A29"/>
    <w:rsid w:val="00355271"/>
    <w:rsid w:val="00371A69"/>
    <w:rsid w:val="0038129E"/>
    <w:rsid w:val="00381C00"/>
    <w:rsid w:val="003927F4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0C46"/>
    <w:rsid w:val="00402181"/>
    <w:rsid w:val="00405098"/>
    <w:rsid w:val="00423EBB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33A1"/>
    <w:rsid w:val="004D46DA"/>
    <w:rsid w:val="004E6092"/>
    <w:rsid w:val="00505814"/>
    <w:rsid w:val="00522499"/>
    <w:rsid w:val="005242B1"/>
    <w:rsid w:val="00524D00"/>
    <w:rsid w:val="005356BA"/>
    <w:rsid w:val="00543E03"/>
    <w:rsid w:val="005559D9"/>
    <w:rsid w:val="0055728D"/>
    <w:rsid w:val="005635D3"/>
    <w:rsid w:val="0057515A"/>
    <w:rsid w:val="005778C9"/>
    <w:rsid w:val="0059215B"/>
    <w:rsid w:val="005A235E"/>
    <w:rsid w:val="005B27A9"/>
    <w:rsid w:val="005B2AFC"/>
    <w:rsid w:val="005B5D7B"/>
    <w:rsid w:val="005B766F"/>
    <w:rsid w:val="005C6F4F"/>
    <w:rsid w:val="005C7EAE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53EEC"/>
    <w:rsid w:val="00670C69"/>
    <w:rsid w:val="006834FE"/>
    <w:rsid w:val="00697874"/>
    <w:rsid w:val="006A54A9"/>
    <w:rsid w:val="006A762A"/>
    <w:rsid w:val="006B31CF"/>
    <w:rsid w:val="006D07A9"/>
    <w:rsid w:val="006D1946"/>
    <w:rsid w:val="006E14A1"/>
    <w:rsid w:val="006F48DD"/>
    <w:rsid w:val="007038AD"/>
    <w:rsid w:val="00716314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7E796A"/>
    <w:rsid w:val="00804434"/>
    <w:rsid w:val="0081335D"/>
    <w:rsid w:val="008363C3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A5057"/>
    <w:rsid w:val="008A537A"/>
    <w:rsid w:val="008A5402"/>
    <w:rsid w:val="008C08C5"/>
    <w:rsid w:val="008C125D"/>
    <w:rsid w:val="008C4AA2"/>
    <w:rsid w:val="008E6358"/>
    <w:rsid w:val="008F67DA"/>
    <w:rsid w:val="008F6B16"/>
    <w:rsid w:val="00902EE1"/>
    <w:rsid w:val="009048A2"/>
    <w:rsid w:val="00904ADF"/>
    <w:rsid w:val="00914ADC"/>
    <w:rsid w:val="00920A3F"/>
    <w:rsid w:val="00925E1A"/>
    <w:rsid w:val="0098102A"/>
    <w:rsid w:val="00983B49"/>
    <w:rsid w:val="009D4F58"/>
    <w:rsid w:val="009D56B8"/>
    <w:rsid w:val="009D6B7C"/>
    <w:rsid w:val="009E57B4"/>
    <w:rsid w:val="00A00E3E"/>
    <w:rsid w:val="00A03D23"/>
    <w:rsid w:val="00A12DD9"/>
    <w:rsid w:val="00A14E63"/>
    <w:rsid w:val="00A164DC"/>
    <w:rsid w:val="00A16EC5"/>
    <w:rsid w:val="00A23604"/>
    <w:rsid w:val="00A2712E"/>
    <w:rsid w:val="00A27446"/>
    <w:rsid w:val="00A33A01"/>
    <w:rsid w:val="00A52713"/>
    <w:rsid w:val="00A672C0"/>
    <w:rsid w:val="00A75542"/>
    <w:rsid w:val="00A92E38"/>
    <w:rsid w:val="00AB5680"/>
    <w:rsid w:val="00AC4FEE"/>
    <w:rsid w:val="00AD2770"/>
    <w:rsid w:val="00AE1A35"/>
    <w:rsid w:val="00AE4353"/>
    <w:rsid w:val="00AE5858"/>
    <w:rsid w:val="00AE6D13"/>
    <w:rsid w:val="00AF0C05"/>
    <w:rsid w:val="00AF3296"/>
    <w:rsid w:val="00AF4AC7"/>
    <w:rsid w:val="00B33FF5"/>
    <w:rsid w:val="00B45642"/>
    <w:rsid w:val="00B57090"/>
    <w:rsid w:val="00B63188"/>
    <w:rsid w:val="00B80148"/>
    <w:rsid w:val="00BA48C7"/>
    <w:rsid w:val="00BB55D1"/>
    <w:rsid w:val="00BE2A4B"/>
    <w:rsid w:val="00BE41D6"/>
    <w:rsid w:val="00BE68FF"/>
    <w:rsid w:val="00BE6938"/>
    <w:rsid w:val="00BF2A6F"/>
    <w:rsid w:val="00BF47AD"/>
    <w:rsid w:val="00C00566"/>
    <w:rsid w:val="00C076DE"/>
    <w:rsid w:val="00C10154"/>
    <w:rsid w:val="00C2458E"/>
    <w:rsid w:val="00C3120C"/>
    <w:rsid w:val="00C31C89"/>
    <w:rsid w:val="00C56DF7"/>
    <w:rsid w:val="00C74E3F"/>
    <w:rsid w:val="00C75973"/>
    <w:rsid w:val="00C76113"/>
    <w:rsid w:val="00CA2D46"/>
    <w:rsid w:val="00CA4349"/>
    <w:rsid w:val="00CA5708"/>
    <w:rsid w:val="00CC230E"/>
    <w:rsid w:val="00CC3E72"/>
    <w:rsid w:val="00CF288D"/>
    <w:rsid w:val="00CF4294"/>
    <w:rsid w:val="00D06C34"/>
    <w:rsid w:val="00D233F3"/>
    <w:rsid w:val="00D33D19"/>
    <w:rsid w:val="00D41199"/>
    <w:rsid w:val="00D463EE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32F0"/>
    <w:rsid w:val="00DD7EAE"/>
    <w:rsid w:val="00DE2A9A"/>
    <w:rsid w:val="00DF4E34"/>
    <w:rsid w:val="00DF5636"/>
    <w:rsid w:val="00DF605F"/>
    <w:rsid w:val="00DF735B"/>
    <w:rsid w:val="00E11ECC"/>
    <w:rsid w:val="00E3543A"/>
    <w:rsid w:val="00E471F3"/>
    <w:rsid w:val="00E57571"/>
    <w:rsid w:val="00E57668"/>
    <w:rsid w:val="00E7438B"/>
    <w:rsid w:val="00E978F5"/>
    <w:rsid w:val="00EA0447"/>
    <w:rsid w:val="00EA375D"/>
    <w:rsid w:val="00EA4E83"/>
    <w:rsid w:val="00EB1570"/>
    <w:rsid w:val="00EB3784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E08"/>
    <w:rsid w:val="00F21F60"/>
    <w:rsid w:val="00F304D4"/>
    <w:rsid w:val="00F41176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DBE5-8AEE-4587-B7A1-976B83D8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2225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2025-09-24T17:12:00Z</dcterms:created>
  <dcterms:modified xsi:type="dcterms:W3CDTF">2025-09-24T17:14:00Z</dcterms:modified>
</cp:coreProperties>
</file>