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70AB264A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="008C08CE">
        <w:rPr>
          <w:rStyle w:val="Strong"/>
          <w:rFonts w:asciiTheme="majorHAnsi" w:hAnsiTheme="majorHAnsi" w:cstheme="majorHAnsi"/>
        </w:rPr>
        <w:t>LEI Nº 114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="0019515C">
        <w:rPr>
          <w:rStyle w:val="Strong"/>
          <w:rFonts w:asciiTheme="majorHAnsi" w:hAnsiTheme="majorHAnsi" w:cstheme="majorHAnsi"/>
        </w:rPr>
        <w:t xml:space="preserve"> – VEREADOR </w:t>
      </w:r>
      <w:r w:rsidR="008C08CE">
        <w:rPr>
          <w:rStyle w:val="Strong"/>
          <w:rFonts w:asciiTheme="majorHAnsi" w:hAnsiTheme="majorHAnsi" w:cstheme="majorHAnsi"/>
        </w:rPr>
        <w:t>JOÃO VICTOR COUTINHO GASPARINI</w:t>
      </w:r>
      <w:r w:rsidR="0019515C">
        <w:rPr>
          <w:rStyle w:val="Strong"/>
          <w:rFonts w:asciiTheme="majorHAnsi" w:hAnsiTheme="majorHAnsi" w:cstheme="majorHAnsi"/>
        </w:rPr>
        <w:t>.</w:t>
      </w:r>
    </w:p>
    <w:p w:rsidR="00042E80" w:rsidRPr="00163F50" w:rsidP="00163F50" w14:paraId="2C889281" w14:textId="6A7B4E3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</w:rPr>
        <w:t>“</w:t>
      </w:r>
      <w:r w:rsidR="0019515C">
        <w:rPr>
          <w:rFonts w:asciiTheme="majorHAnsi" w:hAnsiTheme="majorHAnsi" w:cstheme="majorHAnsi"/>
        </w:rPr>
        <w:t xml:space="preserve">INSTITUI, NO </w:t>
      </w:r>
      <w:r w:rsidR="008C08CE">
        <w:rPr>
          <w:rFonts w:asciiTheme="majorHAnsi" w:hAnsiTheme="majorHAnsi" w:cstheme="majorHAnsi"/>
        </w:rPr>
        <w:t xml:space="preserve">CALENDÁRIO OFICIAL DO </w:t>
      </w:r>
      <w:r w:rsidR="0019515C">
        <w:rPr>
          <w:rFonts w:asciiTheme="majorHAnsi" w:hAnsiTheme="majorHAnsi" w:cstheme="majorHAnsi"/>
        </w:rPr>
        <w:t>MU</w:t>
      </w:r>
      <w:r w:rsidR="008C08CE">
        <w:rPr>
          <w:rFonts w:asciiTheme="majorHAnsi" w:hAnsiTheme="majorHAnsi" w:cstheme="majorHAnsi"/>
        </w:rPr>
        <w:t>NICÍPIO</w:t>
      </w:r>
      <w:r w:rsidR="0019515C">
        <w:rPr>
          <w:rFonts w:asciiTheme="majorHAnsi" w:hAnsiTheme="majorHAnsi" w:cstheme="majorHAnsi"/>
        </w:rPr>
        <w:t xml:space="preserve"> DE MOGI MIRIM, A</w:t>
      </w:r>
      <w:r w:rsidR="008C08CE">
        <w:rPr>
          <w:rFonts w:asciiTheme="majorHAnsi" w:hAnsiTheme="majorHAnsi" w:cstheme="majorHAnsi"/>
        </w:rPr>
        <w:t xml:space="preserve"> BIENAL LITERÁRIA DE MOGI MIRIM “JOAQUIM FIRMINO DE ARAUJO CUNHA </w:t>
      </w:r>
      <w:r w:rsidR="000C2866">
        <w:rPr>
          <w:rFonts w:asciiTheme="majorHAnsi" w:hAnsiTheme="majorHAnsi" w:cstheme="majorHAnsi"/>
        </w:rPr>
        <w:t>“ (</w:t>
      </w:r>
      <w:r w:rsidR="008C08CE">
        <w:rPr>
          <w:rFonts w:asciiTheme="majorHAnsi" w:hAnsiTheme="majorHAnsi" w:cstheme="majorHAnsi"/>
        </w:rPr>
        <w:t>BILIMM), A SER REALIZADA A CADA DOIS ANOS, NO MÊS DE NOVEMBRO, E DA OUTRAS PROVIDÊNCIAS</w:t>
      </w:r>
      <w:r w:rsidRPr="00163F50" w:rsidR="0019515C">
        <w:rPr>
          <w:rFonts w:asciiTheme="majorHAnsi" w:hAnsiTheme="majorHAnsi" w:cstheme="majorHAnsi"/>
        </w:rPr>
        <w:t>.</w:t>
      </w:r>
      <w:r w:rsidR="0019515C">
        <w:rPr>
          <w:rFonts w:asciiTheme="majorHAnsi" w:hAnsiTheme="majorHAnsi" w:cstheme="majorHAnsi"/>
        </w:rPr>
        <w:t xml:space="preserve"> ”</w:t>
      </w:r>
    </w:p>
    <w:p w:rsidR="00F74441" w:rsidRPr="00105B00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05B00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8C08CE" w:rsidRPr="006E5FE6" w:rsidP="008C08CE" w14:paraId="50344F59" w14:textId="24B7141D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sz w:val="24"/>
          <w:szCs w:val="24"/>
        </w:rPr>
        <w:t xml:space="preserve">O </w:t>
      </w:r>
      <w:r w:rsidRPr="006E5FE6">
        <w:rPr>
          <w:rFonts w:asciiTheme="majorHAnsi" w:hAnsiTheme="majorHAnsi" w:cstheme="majorHAnsi"/>
          <w:b/>
          <w:bCs/>
          <w:sz w:val="24"/>
          <w:szCs w:val="24"/>
        </w:rPr>
        <w:t>Projeto de Lei Nº 114/2025</w:t>
      </w:r>
      <w:r w:rsidRPr="006E5FE6">
        <w:rPr>
          <w:rFonts w:asciiTheme="majorHAnsi" w:hAnsiTheme="majorHAnsi" w:cstheme="majorHAnsi"/>
          <w:sz w:val="24"/>
          <w:szCs w:val="24"/>
        </w:rPr>
        <w:t>, de autoria do Vereador João Victor</w:t>
      </w:r>
      <w:r w:rsidR="000C2866">
        <w:rPr>
          <w:rFonts w:asciiTheme="majorHAnsi" w:hAnsiTheme="majorHAnsi" w:cstheme="majorHAnsi"/>
          <w:sz w:val="24"/>
          <w:szCs w:val="24"/>
        </w:rPr>
        <w:t xml:space="preserve"> Coutinho</w:t>
      </w:r>
      <w:r w:rsidRPr="006E5FE6">
        <w:rPr>
          <w:rFonts w:asciiTheme="majorHAnsi" w:hAnsiTheme="majorHAnsi" w:cstheme="majorHAnsi"/>
          <w:sz w:val="24"/>
          <w:szCs w:val="24"/>
        </w:rPr>
        <w:t xml:space="preserve"> Gasparini, propõe a instituição da </w:t>
      </w:r>
      <w:r w:rsidRPr="006E5FE6">
        <w:rPr>
          <w:rFonts w:asciiTheme="majorHAnsi" w:hAnsiTheme="majorHAnsi" w:cstheme="majorHAnsi"/>
          <w:b/>
          <w:bCs/>
          <w:sz w:val="24"/>
          <w:szCs w:val="24"/>
        </w:rPr>
        <w:t>Bienal Literária de Mogi Mirim “Joaquim Firmino de Araújo Cunha” (BILIMM)</w:t>
      </w:r>
      <w:r w:rsidRPr="006E5FE6">
        <w:rPr>
          <w:rFonts w:asciiTheme="majorHAnsi" w:hAnsiTheme="majorHAnsi" w:cstheme="majorHAnsi"/>
          <w:sz w:val="24"/>
          <w:szCs w:val="24"/>
        </w:rPr>
        <w:t xml:space="preserve"> no Calendário Oficial do Município. O evento seria realizado a cada dois anos, no mês de novembro.</w:t>
      </w:r>
    </w:p>
    <w:p w:rsidR="008C08CE" w:rsidRPr="006E5FE6" w:rsidP="008C08CE" w14:paraId="01D4E6D9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sz w:val="24"/>
          <w:szCs w:val="24"/>
        </w:rPr>
        <w:t>O projeto, em sua estrutura, é composto por seis artigos que definem os detalhes da proposta:</w:t>
      </w:r>
    </w:p>
    <w:p w:rsidR="008C08CE" w:rsidRPr="006E5FE6" w:rsidP="008C08CE" w14:paraId="5FA8BA51" w14:textId="77777777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b/>
          <w:bCs/>
          <w:sz w:val="24"/>
          <w:szCs w:val="24"/>
        </w:rPr>
        <w:t>Artigo 1º:</w:t>
      </w:r>
      <w:r w:rsidRPr="006E5FE6">
        <w:rPr>
          <w:rFonts w:asciiTheme="majorHAnsi" w:hAnsiTheme="majorHAnsi" w:cstheme="majorHAnsi"/>
          <w:sz w:val="24"/>
          <w:szCs w:val="24"/>
        </w:rPr>
        <w:t xml:space="preserve"> Institui a Bienal no Calendário Oficial do Município, fixando sua periodicidade bienal e o mês de realização (novembro).</w:t>
      </w:r>
    </w:p>
    <w:p w:rsidR="008C08CE" w:rsidRPr="006E5FE6" w:rsidP="008C08CE" w14:paraId="6700AB10" w14:textId="77777777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b/>
          <w:bCs/>
          <w:sz w:val="24"/>
          <w:szCs w:val="24"/>
        </w:rPr>
        <w:t>Artigo 2º:</w:t>
      </w:r>
      <w:r w:rsidRPr="006E5FE6">
        <w:rPr>
          <w:rFonts w:asciiTheme="majorHAnsi" w:hAnsiTheme="majorHAnsi" w:cstheme="majorHAnsi"/>
          <w:sz w:val="24"/>
          <w:szCs w:val="24"/>
        </w:rPr>
        <w:t xml:space="preserve"> Elenca os cinco objetivos principais da Bienal, focando no incentivo à leitura, na valorização do legado de Joaquim Firmino de Araújo Cunha, no estímulo à produção literária, no fomento à economia criativa e na integração com o Mês da Consciência Negra.</w:t>
      </w:r>
    </w:p>
    <w:p w:rsidR="008C08CE" w:rsidRPr="006E5FE6" w:rsidP="008C08CE" w14:paraId="1FAF7C66" w14:textId="77777777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b/>
          <w:bCs/>
          <w:sz w:val="24"/>
          <w:szCs w:val="24"/>
        </w:rPr>
        <w:t>Artigo 3º:</w:t>
      </w:r>
      <w:r w:rsidRPr="006E5FE6">
        <w:rPr>
          <w:rFonts w:asciiTheme="majorHAnsi" w:hAnsiTheme="majorHAnsi" w:cstheme="majorHAnsi"/>
          <w:sz w:val="24"/>
          <w:szCs w:val="24"/>
        </w:rPr>
        <w:t xml:space="preserve"> Permite, de forma voluntária e de acordo com a disponibilidade orçamentária, a colaboração de órgãos municipais (em especial das áreas de Educação, Cultura e Turismo) na promoção e apoio ao evento.</w:t>
      </w:r>
    </w:p>
    <w:p w:rsidR="008C08CE" w:rsidRPr="006E5FE6" w:rsidP="008C08CE" w14:paraId="2A442B00" w14:textId="77777777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b/>
          <w:bCs/>
          <w:sz w:val="24"/>
          <w:szCs w:val="24"/>
        </w:rPr>
        <w:t>Artigo 4º:</w:t>
      </w:r>
      <w:r w:rsidRPr="006E5FE6">
        <w:rPr>
          <w:rFonts w:asciiTheme="majorHAnsi" w:hAnsiTheme="majorHAnsi" w:cstheme="majorHAnsi"/>
          <w:sz w:val="24"/>
          <w:szCs w:val="24"/>
        </w:rPr>
        <w:t xml:space="preserve"> Prevê a participação da sociedade civil e de entidades públicas e privadas na organização da Bienal, resguardando o papel do Poder Executivo, que poderá colaborar conforme sua conveniência e nos limites da lei.</w:t>
      </w:r>
    </w:p>
    <w:p w:rsidR="008C08CE" w:rsidRPr="006E5FE6" w:rsidP="008C08CE" w14:paraId="14325F97" w14:textId="77777777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b/>
          <w:bCs/>
          <w:sz w:val="24"/>
          <w:szCs w:val="24"/>
        </w:rPr>
        <w:t>Artigo 5º:</w:t>
      </w:r>
      <w:r w:rsidRPr="006E5FE6">
        <w:rPr>
          <w:rFonts w:asciiTheme="majorHAnsi" w:hAnsiTheme="majorHAnsi" w:cstheme="majorHAnsi"/>
          <w:sz w:val="24"/>
          <w:szCs w:val="24"/>
        </w:rPr>
        <w:t xml:space="preserve"> Estabelece que as despesas, caso existam, serão cobertas por dotações orçamentárias próprias, podendo ser suplementadas, sempre respeitando a responsabilidade fiscal.</w:t>
      </w:r>
    </w:p>
    <w:p w:rsidR="008C08CE" w:rsidRPr="006E5FE6" w:rsidP="008C08CE" w14:paraId="6B89ED5C" w14:textId="77777777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b/>
          <w:bCs/>
          <w:sz w:val="24"/>
          <w:szCs w:val="24"/>
        </w:rPr>
        <w:t>Artigo 6º:</w:t>
      </w:r>
      <w:r w:rsidRPr="006E5FE6">
        <w:rPr>
          <w:rFonts w:asciiTheme="majorHAnsi" w:hAnsiTheme="majorHAnsi" w:cstheme="majorHAnsi"/>
          <w:sz w:val="24"/>
          <w:szCs w:val="24"/>
        </w:rPr>
        <w:t xml:space="preserve"> Define que a lei entrará em vigor na data de sua publicação.</w:t>
      </w:r>
    </w:p>
    <w:p w:rsidR="008C08CE" w:rsidRPr="006E5FE6" w:rsidP="008C08CE" w14:paraId="2563C388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6E5FE6">
        <w:rPr>
          <w:rFonts w:asciiTheme="majorHAnsi" w:hAnsiTheme="majorHAnsi" w:cstheme="majorHAnsi"/>
          <w:sz w:val="24"/>
          <w:szCs w:val="24"/>
        </w:rPr>
        <w:t xml:space="preserve">A justificativa do projeto destaca a necessidade de preencher uma lacuna cultural na região, fortalecer a identidade local e dinamizar a economia, ao mesmo tempo que honra a </w:t>
      </w:r>
      <w:r w:rsidRPr="006E5FE6">
        <w:rPr>
          <w:rFonts w:asciiTheme="majorHAnsi" w:hAnsiTheme="majorHAnsi" w:cstheme="majorHAnsi"/>
          <w:sz w:val="24"/>
          <w:szCs w:val="24"/>
        </w:rPr>
        <w:t>memória de Joaquim Firmino. O texto baseia-se em dados de pesquisa sobre leitura e no impacto econômico de eventos culturais similares.</w:t>
      </w:r>
    </w:p>
    <w:p w:rsidR="0019515C" w:rsidRPr="00DB75E8" w:rsidP="0019515C" w14:paraId="3FA71327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B75E8">
        <w:rPr>
          <w:rFonts w:asciiTheme="majorHAnsi" w:hAnsiTheme="majorHAnsi" w:cstheme="majorHAnsi"/>
          <w:sz w:val="24"/>
          <w:szCs w:val="24"/>
        </w:rPr>
        <w:t>O presente parecer, emitido pela Comissão de Saúde, Educação, Cultura, Esporte e Assistência Social, tem como objetivo analisar a pertinência da matéria e suas implicações nas áreas de competência desta Comissão.</w:t>
      </w:r>
    </w:p>
    <w:p w:rsidR="00C829EC" w:rsidRPr="00DB75E8" w:rsidP="00163F50" w14:paraId="19DDF826" w14:textId="737F4460">
      <w:pPr>
        <w:pStyle w:val="NormalWeb"/>
        <w:jc w:val="both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 xml:space="preserve">Ressaltamos também que o projeto </w:t>
      </w:r>
      <w:r w:rsidR="00DB75E8">
        <w:rPr>
          <w:rFonts w:asciiTheme="majorHAnsi" w:hAnsiTheme="majorHAnsi" w:cstheme="majorHAnsi"/>
        </w:rPr>
        <w:t>contou</w:t>
      </w:r>
      <w:r w:rsidRPr="00DB75E8" w:rsidR="00DB75E8">
        <w:rPr>
          <w:rFonts w:asciiTheme="majorHAnsi" w:hAnsiTheme="majorHAnsi" w:cstheme="majorHAnsi"/>
        </w:rPr>
        <w:t xml:space="preserve"> com a análise da </w:t>
      </w:r>
      <w:r w:rsidRPr="00DB75E8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DB75E8" w:rsidR="00DB75E8">
        <w:rPr>
          <w:rFonts w:asciiTheme="majorHAnsi" w:hAnsiTheme="majorHAnsi" w:cstheme="majorHAnsi"/>
        </w:rPr>
        <w:t xml:space="preserve">e </w:t>
      </w:r>
      <w:r w:rsidRPr="00DB75E8">
        <w:rPr>
          <w:rFonts w:asciiTheme="majorHAnsi" w:hAnsiTheme="majorHAnsi" w:cstheme="majorHAnsi"/>
        </w:rPr>
        <w:t xml:space="preserve">tramitou na </w:t>
      </w:r>
      <w:r w:rsidRPr="00DB75E8">
        <w:rPr>
          <w:rFonts w:asciiTheme="majorHAnsi" w:hAnsiTheme="majorHAnsi" w:cstheme="majorHAnsi"/>
          <w:b/>
        </w:rPr>
        <w:t>Comissão de Justiça e Redação</w:t>
      </w:r>
      <w:r w:rsidRPr="00DB75E8">
        <w:rPr>
          <w:rFonts w:asciiTheme="majorHAnsi" w:hAnsiTheme="majorHAnsi" w:cstheme="majorHAnsi"/>
        </w:rPr>
        <w:t>, recebendo parecer favorável.</w:t>
      </w:r>
    </w:p>
    <w:p w:rsidR="004A7437" w:rsidP="004A7437" w14:paraId="73237876" w14:textId="7777777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P="00DB75E8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8C08CE" w:rsidP="008C08CE" w14:paraId="6DD0C841" w14:textId="77777777">
      <w:pPr>
        <w:pStyle w:val="NormalWeb"/>
        <w:rPr>
          <w:rFonts w:asciiTheme="majorHAnsi" w:hAnsiTheme="majorHAnsi" w:cstheme="majorHAnsi"/>
        </w:rPr>
      </w:pPr>
      <w:r w:rsidRPr="008C08CE">
        <w:rPr>
          <w:rFonts w:asciiTheme="majorHAnsi" w:hAnsiTheme="majorHAnsi" w:cstheme="majorHAnsi"/>
        </w:rPr>
        <w:t>A proposição tem um potencial significativo de impactar as áreas de competência desta comissão, indo além da simples instituição de um evento.</w:t>
      </w:r>
    </w:p>
    <w:p w:rsidR="008C08CE" w:rsidP="008C08CE" w14:paraId="0B542B00" w14:textId="632A2202">
      <w:pPr>
        <w:pStyle w:val="NormalWeb"/>
        <w:rPr>
          <w:rFonts w:asciiTheme="majorHAnsi" w:hAnsiTheme="majorHAnsi" w:cstheme="majorHAnsi"/>
          <w:b/>
          <w:bCs/>
        </w:rPr>
      </w:pPr>
      <w:r w:rsidRPr="008C08CE">
        <w:rPr>
          <w:rFonts w:asciiTheme="majorHAnsi" w:hAnsiTheme="majorHAnsi" w:cstheme="majorHAnsi"/>
          <w:b/>
          <w:bCs/>
        </w:rPr>
        <w:t>Educação</w:t>
      </w:r>
      <w:r w:rsidR="000C2866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 xml:space="preserve"> </w:t>
      </w:r>
      <w:r w:rsidRPr="008C08CE">
        <w:rPr>
          <w:rFonts w:asciiTheme="majorHAnsi" w:hAnsiTheme="majorHAnsi" w:cstheme="majorHAnsi"/>
        </w:rPr>
        <w:t xml:space="preserve">O </w:t>
      </w:r>
      <w:r w:rsidRPr="008C08CE">
        <w:rPr>
          <w:rFonts w:asciiTheme="majorHAnsi" w:hAnsiTheme="majorHAnsi" w:cstheme="majorHAnsi"/>
          <w:b/>
          <w:bCs/>
        </w:rPr>
        <w:t>inciso I do Art. 2º</w:t>
      </w:r>
      <w:r w:rsidRPr="008C08CE">
        <w:rPr>
          <w:rFonts w:asciiTheme="majorHAnsi" w:hAnsiTheme="majorHAnsi" w:cstheme="majorHAnsi"/>
        </w:rPr>
        <w:t xml:space="preserve"> ("promover o incentivo à leitura, à literatura e à formação de novos leitores") é um dos pilares da proposta. Conforme a pesquisa </w:t>
      </w:r>
      <w:r w:rsidRPr="008C08CE">
        <w:rPr>
          <w:rFonts w:asciiTheme="majorHAnsi" w:hAnsiTheme="majorHAnsi" w:cstheme="majorHAnsi"/>
          <w:b/>
          <w:bCs/>
        </w:rPr>
        <w:t>“Retratos da Leitura no Brasil” (2024)</w:t>
      </w:r>
      <w:r w:rsidRPr="008C08CE">
        <w:rPr>
          <w:rFonts w:asciiTheme="majorHAnsi" w:hAnsiTheme="majorHAnsi" w:cstheme="majorHAnsi"/>
        </w:rPr>
        <w:t>, a queda nos índices de leitura no país e no estado de São Paulo exige ações eficazes. A BILIMM se apresenta como uma política pública que pode atuar como um catalisador para reverter esse quadro. Ela cria um evento âncora para mobilizar escolas, professores e a comunidade, fomentando o hábito de leitura desde a infância e expondo a população a novas obras e autores.</w:t>
      </w:r>
      <w:r w:rsidRPr="008C08CE">
        <w:rPr>
          <w:rFonts w:asciiTheme="majorHAnsi" w:hAnsiTheme="majorHAnsi" w:cstheme="majorHAnsi"/>
          <w:b/>
          <w:bCs/>
        </w:rPr>
        <w:t xml:space="preserve"> </w:t>
      </w:r>
    </w:p>
    <w:p w:rsidR="008C08CE" w:rsidRPr="008C08CE" w:rsidP="008C08CE" w14:paraId="2A0ED348" w14:textId="62679060">
      <w:pPr>
        <w:pStyle w:val="NormalWeb"/>
        <w:rPr>
          <w:rFonts w:asciiTheme="majorHAnsi" w:hAnsiTheme="majorHAnsi" w:cstheme="majorHAnsi"/>
        </w:rPr>
      </w:pPr>
      <w:r w:rsidRPr="008C08CE">
        <w:rPr>
          <w:rFonts w:asciiTheme="majorHAnsi" w:hAnsiTheme="majorHAnsi" w:cstheme="majorHAnsi"/>
          <w:b/>
          <w:bCs/>
        </w:rPr>
        <w:t>Cultura</w:t>
      </w:r>
      <w:r w:rsidR="000C2866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 xml:space="preserve"> </w:t>
      </w:r>
      <w:r w:rsidRPr="008C08CE">
        <w:rPr>
          <w:rFonts w:asciiTheme="majorHAnsi" w:hAnsiTheme="majorHAnsi" w:cstheme="majorHAnsi"/>
        </w:rPr>
        <w:t xml:space="preserve">A Bienal, como evento cultural, contribui para o pleno exercício dos </w:t>
      </w:r>
      <w:r w:rsidRPr="008C08CE">
        <w:rPr>
          <w:rFonts w:asciiTheme="majorHAnsi" w:hAnsiTheme="majorHAnsi" w:cstheme="majorHAnsi"/>
          <w:b/>
          <w:bCs/>
        </w:rPr>
        <w:t>direitos culturais</w:t>
      </w:r>
      <w:r w:rsidRPr="008C08CE">
        <w:rPr>
          <w:rFonts w:asciiTheme="majorHAnsi" w:hAnsiTheme="majorHAnsi" w:cstheme="majorHAnsi"/>
        </w:rPr>
        <w:t xml:space="preserve"> garantidos pela </w:t>
      </w:r>
      <w:r w:rsidRPr="008C08CE">
        <w:rPr>
          <w:rFonts w:asciiTheme="majorHAnsi" w:hAnsiTheme="majorHAnsi" w:cstheme="majorHAnsi"/>
          <w:b/>
          <w:bCs/>
        </w:rPr>
        <w:t>Constituição Federal (Art. 215 e 216)</w:t>
      </w:r>
      <w:r w:rsidRPr="008C08CE">
        <w:rPr>
          <w:rFonts w:asciiTheme="majorHAnsi" w:hAnsiTheme="majorHAnsi" w:cstheme="majorHAnsi"/>
        </w:rPr>
        <w:t>. Mais do que isso, a proposta tem um valor simbólico e prático:</w:t>
      </w:r>
    </w:p>
    <w:p w:rsidR="008C08CE" w:rsidRPr="008C08CE" w:rsidP="008C08CE" w14:paraId="15CC30A0" w14:textId="77777777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8C08CE">
        <w:rPr>
          <w:rFonts w:asciiTheme="majorHAnsi" w:hAnsiTheme="majorHAnsi" w:cstheme="majorHAnsi"/>
          <w:b/>
          <w:bCs/>
        </w:rPr>
        <w:t>Valorização da memória e do patrimônio:</w:t>
      </w:r>
      <w:r w:rsidRPr="008C08CE">
        <w:rPr>
          <w:rFonts w:asciiTheme="majorHAnsi" w:hAnsiTheme="majorHAnsi" w:cstheme="majorHAnsi"/>
        </w:rPr>
        <w:t xml:space="preserve"> Ao nomear a Bienal em homenagem a </w:t>
      </w:r>
      <w:r w:rsidRPr="008C08CE">
        <w:rPr>
          <w:rFonts w:asciiTheme="majorHAnsi" w:hAnsiTheme="majorHAnsi" w:cstheme="majorHAnsi"/>
          <w:b/>
          <w:bCs/>
        </w:rPr>
        <w:t>Joaquim Firmino de Araújo Cunha</w:t>
      </w:r>
      <w:r w:rsidRPr="008C08CE">
        <w:rPr>
          <w:rFonts w:asciiTheme="majorHAnsi" w:hAnsiTheme="majorHAnsi" w:cstheme="majorHAnsi"/>
        </w:rPr>
        <w:t>, o projeto transforma a história do mártir abolicionista em uma política pública de leitura e reparação simbólica, fortalecendo a identidade e a história local.</w:t>
      </w:r>
    </w:p>
    <w:p w:rsidR="008C08CE" w:rsidRPr="008C08CE" w:rsidP="008C08CE" w14:paraId="557217D5" w14:textId="77777777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8C08CE">
        <w:rPr>
          <w:rFonts w:asciiTheme="majorHAnsi" w:hAnsiTheme="majorHAnsi" w:cstheme="majorHAnsi"/>
          <w:b/>
          <w:bCs/>
        </w:rPr>
        <w:t>Fomento à economia criativa:</w:t>
      </w:r>
      <w:r w:rsidRPr="008C08CE">
        <w:rPr>
          <w:rFonts w:asciiTheme="majorHAnsi" w:hAnsiTheme="majorHAnsi" w:cstheme="majorHAnsi"/>
        </w:rPr>
        <w:t xml:space="preserve"> O </w:t>
      </w:r>
      <w:r w:rsidRPr="008C08CE">
        <w:rPr>
          <w:rFonts w:asciiTheme="majorHAnsi" w:hAnsiTheme="majorHAnsi" w:cstheme="majorHAnsi"/>
          <w:b/>
          <w:bCs/>
        </w:rPr>
        <w:t>inciso IV do Art. 2º</w:t>
      </w:r>
      <w:r w:rsidRPr="008C08CE">
        <w:rPr>
          <w:rFonts w:asciiTheme="majorHAnsi" w:hAnsiTheme="majorHAnsi" w:cstheme="majorHAnsi"/>
        </w:rPr>
        <w:t xml:space="preserve"> (“fomentar a economia criativa e cultural”) reforça o potencial econômico do evento. Como a justificativa do projeto aponta, eventos como a Bienal do Livro de São Paulo e do Rio de Janeiro demonstram o impacto positivo na mobilização de editoras, livrarias, turismo e serviços, gerando renda e empregos.</w:t>
      </w:r>
    </w:p>
    <w:p w:rsidR="008C08CE" w:rsidP="008C08CE" w14:paraId="388737FB" w14:textId="77777777">
      <w:pPr>
        <w:pStyle w:val="NormalWeb"/>
        <w:rPr>
          <w:rFonts w:asciiTheme="majorHAnsi" w:hAnsiTheme="majorHAnsi" w:cstheme="majorHAnsi"/>
          <w:b/>
          <w:bCs/>
        </w:rPr>
      </w:pPr>
      <w:r w:rsidRPr="008C08CE">
        <w:rPr>
          <w:rFonts w:asciiTheme="majorHAnsi" w:hAnsiTheme="majorHAnsi" w:cstheme="majorHAnsi"/>
          <w:b/>
          <w:bCs/>
        </w:rPr>
        <w:t xml:space="preserve"> </w:t>
      </w:r>
    </w:p>
    <w:p w:rsidR="008C08CE" w:rsidRPr="008C08CE" w:rsidP="008C08CE" w14:paraId="1900A336" w14:textId="3A1A9110">
      <w:pPr>
        <w:pStyle w:val="NormalWeb"/>
        <w:rPr>
          <w:rFonts w:asciiTheme="majorHAnsi" w:hAnsiTheme="majorHAnsi" w:cstheme="majorHAnsi"/>
        </w:rPr>
      </w:pPr>
      <w:r w:rsidRPr="008C08CE">
        <w:rPr>
          <w:rFonts w:asciiTheme="majorHAnsi" w:hAnsiTheme="majorHAnsi" w:cstheme="majorHAnsi"/>
          <w:b/>
          <w:bCs/>
        </w:rPr>
        <w:t>Assistência Social</w:t>
      </w:r>
      <w:r w:rsidR="000C2866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 xml:space="preserve"> </w:t>
      </w:r>
      <w:r w:rsidRPr="008C08CE">
        <w:rPr>
          <w:rFonts w:asciiTheme="majorHAnsi" w:hAnsiTheme="majorHAnsi" w:cstheme="majorHAnsi"/>
        </w:rPr>
        <w:t xml:space="preserve">O projeto também contribui para a assistência social ao promover a </w:t>
      </w:r>
      <w:r w:rsidRPr="008C08CE">
        <w:rPr>
          <w:rFonts w:asciiTheme="majorHAnsi" w:hAnsiTheme="majorHAnsi" w:cstheme="majorHAnsi"/>
          <w:b/>
          <w:bCs/>
        </w:rPr>
        <w:t>igualdade, diversidade e inclusão</w:t>
      </w:r>
      <w:r w:rsidRPr="008C08CE">
        <w:rPr>
          <w:rFonts w:asciiTheme="majorHAnsi" w:hAnsiTheme="majorHAnsi" w:cstheme="majorHAnsi"/>
        </w:rPr>
        <w:t xml:space="preserve">, como expresso no </w:t>
      </w:r>
      <w:r w:rsidRPr="008C08CE">
        <w:rPr>
          <w:rFonts w:asciiTheme="majorHAnsi" w:hAnsiTheme="majorHAnsi" w:cstheme="majorHAnsi"/>
          <w:b/>
          <w:bCs/>
        </w:rPr>
        <w:t>inciso V do Art. 2º</w:t>
      </w:r>
      <w:r w:rsidRPr="008C08CE">
        <w:rPr>
          <w:rFonts w:asciiTheme="majorHAnsi" w:hAnsiTheme="majorHAnsi" w:cstheme="majorHAnsi"/>
        </w:rPr>
        <w:t>. Ao se integrar às atividades do Mês da Consciência Negra, o evento se torna um espaço para a conscientização sobre questões raciais, a valorização da cultura afro-brasileira e o combate ao preconceito. A ampliação do acesso à cultura é, em si, um ato de inclusão social.</w:t>
      </w:r>
    </w:p>
    <w:p w:rsidR="004A7437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163F50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  <w:b/>
        </w:rPr>
        <w:t>III -</w:t>
      </w:r>
      <w:r w:rsidRPr="00163F50">
        <w:rPr>
          <w:rFonts w:asciiTheme="majorHAnsi" w:hAnsiTheme="majorHAnsi" w:cstheme="majorHAnsi"/>
        </w:rPr>
        <w:t xml:space="preserve"> </w:t>
      </w:r>
      <w:r w:rsidRPr="00163F50">
        <w:rPr>
          <w:rFonts w:asciiTheme="majorHAnsi" w:hAnsiTheme="majorHAnsi" w:cstheme="majorHAnsi"/>
          <w:b/>
          <w:bCs/>
        </w:rPr>
        <w:t>OFERECIMENTO DE SUBSTITUTIVO, EMENDAS OU SUBEMENDAS</w:t>
      </w:r>
      <w:r w:rsidRPr="00163F50">
        <w:rPr>
          <w:rFonts w:asciiTheme="majorHAnsi" w:hAnsiTheme="majorHAnsi" w:cstheme="majorHAnsi"/>
        </w:rPr>
        <w:t xml:space="preserve"> </w:t>
      </w:r>
    </w:p>
    <w:p w:rsidR="00103683" w:rsidRPr="00103683" w:rsidP="00103683" w14:paraId="42E3410D" w14:textId="4DE18920">
      <w:pPr>
        <w:pStyle w:val="NormalWeb"/>
        <w:jc w:val="both"/>
        <w:rPr>
          <w:rFonts w:asciiTheme="majorHAnsi" w:hAnsiTheme="majorHAnsi" w:cstheme="majorHAnsi"/>
        </w:rPr>
      </w:pPr>
      <w:r w:rsidRPr="00103683">
        <w:rPr>
          <w:rFonts w:asciiTheme="majorHAnsi" w:hAnsiTheme="majorHAnsi" w:cstheme="majorHAnsi"/>
        </w:rPr>
        <w:t>Após análise</w:t>
      </w:r>
      <w:r w:rsidRPr="00103683" w:rsidR="00063E7D">
        <w:rPr>
          <w:rFonts w:asciiTheme="majorHAnsi" w:hAnsiTheme="majorHAnsi" w:cstheme="majorHAnsi"/>
        </w:rPr>
        <w:t xml:space="preserve"> detalhada do </w:t>
      </w:r>
      <w:r w:rsidRPr="00103683" w:rsidR="00063E7D">
        <w:rPr>
          <w:rFonts w:asciiTheme="majorHAnsi" w:hAnsiTheme="majorHAnsi" w:cstheme="majorHAnsi"/>
          <w:b/>
        </w:rPr>
        <w:t>P</w:t>
      </w:r>
      <w:r w:rsidRPr="00103683" w:rsidR="00DB75E8">
        <w:rPr>
          <w:rFonts w:asciiTheme="majorHAnsi" w:hAnsiTheme="majorHAnsi" w:cstheme="majorHAnsi"/>
          <w:b/>
        </w:rPr>
        <w:t>rojeto</w:t>
      </w:r>
      <w:r w:rsidRPr="00103683">
        <w:rPr>
          <w:rFonts w:asciiTheme="majorHAnsi" w:hAnsiTheme="majorHAnsi" w:cstheme="majorHAnsi"/>
          <w:b/>
        </w:rPr>
        <w:t xml:space="preserve"> de Lei</w:t>
      </w:r>
      <w:r w:rsidRPr="00103683" w:rsidR="00063E7D">
        <w:rPr>
          <w:rFonts w:asciiTheme="majorHAnsi" w:hAnsiTheme="majorHAnsi" w:cstheme="majorHAnsi"/>
          <w:b/>
        </w:rPr>
        <w:t xml:space="preserve"> nº </w:t>
      </w:r>
      <w:r w:rsidRPr="00103683">
        <w:rPr>
          <w:rFonts w:asciiTheme="majorHAnsi" w:hAnsiTheme="majorHAnsi" w:cstheme="majorHAnsi"/>
          <w:b/>
        </w:rPr>
        <w:t>114</w:t>
      </w:r>
      <w:r w:rsidRPr="00103683" w:rsidR="00063E7D">
        <w:rPr>
          <w:rFonts w:asciiTheme="majorHAnsi" w:hAnsiTheme="majorHAnsi" w:cstheme="majorHAnsi"/>
          <w:b/>
        </w:rPr>
        <w:t>/2025</w:t>
      </w:r>
      <w:r w:rsidRPr="00103683" w:rsidR="00DB75E8">
        <w:rPr>
          <w:rFonts w:asciiTheme="majorHAnsi" w:hAnsiTheme="majorHAnsi" w:cstheme="majorHAnsi"/>
        </w:rPr>
        <w:t xml:space="preserve"> apresentado</w:t>
      </w:r>
      <w:r w:rsidRPr="00103683">
        <w:rPr>
          <w:rFonts w:asciiTheme="majorHAnsi" w:hAnsiTheme="majorHAnsi" w:cstheme="majorHAnsi"/>
        </w:rPr>
        <w:t xml:space="preserve"> e dos </w:t>
      </w:r>
      <w:r w:rsidRPr="00103683" w:rsidR="00611001">
        <w:rPr>
          <w:rFonts w:asciiTheme="majorHAnsi" w:hAnsiTheme="majorHAnsi" w:cstheme="majorHAnsi"/>
        </w:rPr>
        <w:t>pareceres,</w:t>
      </w:r>
      <w:r w:rsidRPr="00103683">
        <w:rPr>
          <w:rFonts w:asciiTheme="majorHAnsi" w:hAnsiTheme="majorHAnsi" w:cstheme="majorHAnsi"/>
        </w:rPr>
        <w:t xml:space="preserve"> esta </w:t>
      </w:r>
      <w:r w:rsidRPr="00103683" w:rsidR="00063E7D">
        <w:rPr>
          <w:rFonts w:asciiTheme="majorHAnsi" w:hAnsiTheme="majorHAnsi" w:cstheme="majorHAnsi"/>
        </w:rPr>
        <w:t>Relatoria conclui que o projeto</w:t>
      </w:r>
      <w:r w:rsidRPr="00103683">
        <w:rPr>
          <w:rFonts w:asciiTheme="majorHAnsi" w:hAnsiTheme="majorHAnsi" w:cstheme="majorHAnsi"/>
        </w:rPr>
        <w:t xml:space="preserve"> não exige a apresentação de </w:t>
      </w:r>
      <w:r w:rsidRPr="00103683">
        <w:rPr>
          <w:rFonts w:asciiTheme="majorHAnsi" w:hAnsiTheme="majorHAnsi" w:cstheme="majorHAnsi"/>
          <w:b/>
        </w:rPr>
        <w:t>subst</w:t>
      </w:r>
      <w:r w:rsidRPr="00103683" w:rsidR="00DB75E8">
        <w:rPr>
          <w:rFonts w:asciiTheme="majorHAnsi" w:hAnsiTheme="majorHAnsi" w:cstheme="majorHAnsi"/>
          <w:b/>
        </w:rPr>
        <w:t>itutivos, emendas ou subemendas</w:t>
      </w:r>
      <w:r w:rsidRPr="00103683" w:rsidR="00DB75E8">
        <w:rPr>
          <w:rFonts w:asciiTheme="majorHAnsi" w:hAnsiTheme="majorHAnsi" w:cstheme="majorHAnsi"/>
        </w:rPr>
        <w:t xml:space="preserve">, pois considera o texto claro, conciso e alinhado aos objetivos </w:t>
      </w:r>
      <w:r w:rsidRPr="00103683">
        <w:rPr>
          <w:rFonts w:asciiTheme="majorHAnsi" w:hAnsiTheme="majorHAnsi" w:cstheme="majorHAnsi"/>
        </w:rPr>
        <w:t>propostos. Apesar de o parecer da SGP Consultoria sugerir cautela quanto à redação do Art. 3º, que permite a colaboração de órgãos municipais, a for</w:t>
      </w:r>
      <w:r>
        <w:rPr>
          <w:rFonts w:asciiTheme="majorHAnsi" w:hAnsiTheme="majorHAnsi" w:cstheme="majorHAnsi"/>
        </w:rPr>
        <w:t xml:space="preserve">ma como o texto está redigido, </w:t>
      </w:r>
      <w:r w:rsidRPr="00103683">
        <w:rPr>
          <w:rFonts w:asciiTheme="majorHAnsi" w:hAnsiTheme="majorHAnsi" w:cstheme="majorHAnsi"/>
        </w:rPr>
        <w:t>utilizando o verbo “poderá” e condicionando a ação à "disponibilidade orçamentária e</w:t>
      </w:r>
      <w:r>
        <w:rPr>
          <w:rFonts w:asciiTheme="majorHAnsi" w:hAnsiTheme="majorHAnsi" w:cstheme="majorHAnsi"/>
        </w:rPr>
        <w:t xml:space="preserve"> conveniência administrativa”,</w:t>
      </w:r>
      <w:r w:rsidRPr="00103683">
        <w:rPr>
          <w:rFonts w:asciiTheme="majorHAnsi" w:hAnsiTheme="majorHAnsi" w:cstheme="majorHAnsi"/>
        </w:rPr>
        <w:t xml:space="preserve"> já resguarda a autonomia do Poder Executivo, evitando a imposição de despesas ou obrigações diretas. Essa clareza na redação dispensa a necessidade de quaisquer ajustes formais, emendas ou substitutivos.</w:t>
      </w:r>
    </w:p>
    <w:p w:rsidR="00103683" w:rsidRPr="00103683" w:rsidP="00103683" w14:paraId="23435C27" w14:textId="25292C27">
      <w:pPr>
        <w:pStyle w:val="NormalWeb"/>
        <w:rPr>
          <w:rFonts w:asciiTheme="majorHAnsi" w:hAnsiTheme="majorHAnsi" w:cstheme="majorHAnsi"/>
        </w:rPr>
      </w:pPr>
      <w:r w:rsidRPr="00103683">
        <w:rPr>
          <w:rFonts w:asciiTheme="majorHAnsi" w:hAnsiTheme="majorHAnsi" w:cstheme="majorHAnsi"/>
        </w:rPr>
        <w:t>Portanto, não se faz necessário propor alterações ao p</w:t>
      </w:r>
      <w:r>
        <w:rPr>
          <w:rFonts w:asciiTheme="majorHAnsi" w:hAnsiTheme="majorHAnsi" w:cstheme="majorHAnsi"/>
        </w:rPr>
        <w:t>rojeto, que se encontra</w:t>
      </w:r>
      <w:r w:rsidRPr="00103683">
        <w:rPr>
          <w:rFonts w:asciiTheme="majorHAnsi" w:hAnsiTheme="majorHAnsi" w:cstheme="majorHAnsi"/>
        </w:rPr>
        <w:t xml:space="preserve"> pronto para a tramitação.</w:t>
      </w:r>
    </w:p>
    <w:p w:rsidR="00C829EC" w:rsidRPr="00163F50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  <w:b/>
          <w:bCs/>
        </w:rPr>
        <w:t>IV -  DECISÃO D</w:t>
      </w:r>
      <w:r w:rsidR="004A7437">
        <w:rPr>
          <w:rFonts w:asciiTheme="majorHAnsi" w:hAnsiTheme="majorHAnsi" w:cstheme="majorHAnsi"/>
          <w:b/>
          <w:bCs/>
        </w:rPr>
        <w:t>A COMISSÃO</w:t>
      </w:r>
    </w:p>
    <w:p w:rsidR="004A7437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A7437" w:rsidP="00163F50" w14:paraId="5FABA39D" w14:textId="378576D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A7437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="00103683">
        <w:rPr>
          <w:rFonts w:asciiTheme="majorHAnsi" w:hAnsiTheme="majorHAnsi" w:cstheme="majorHAnsi"/>
        </w:rPr>
        <w:t>o Projeto de Lei nº 114</w:t>
      </w:r>
      <w:r w:rsidRPr="004A7437">
        <w:rPr>
          <w:rFonts w:asciiTheme="majorHAnsi" w:hAnsiTheme="majorHAnsi" w:cstheme="majorHAnsi"/>
        </w:rPr>
        <w:t xml:space="preserve">/2025, sem emendas, considerando-o </w:t>
      </w:r>
      <w:r w:rsidRPr="004A7437">
        <w:rPr>
          <w:rFonts w:asciiTheme="majorHAnsi" w:hAnsiTheme="majorHAnsi" w:cstheme="majorHAnsi"/>
          <w:b/>
          <w:bCs/>
        </w:rPr>
        <w:t>pertinente e de alta relevância social</w:t>
      </w:r>
      <w:r w:rsidRPr="004A7437">
        <w:rPr>
          <w:rFonts w:asciiTheme="majorHAnsi" w:hAnsiTheme="majorHAnsi" w:cstheme="majorHAnsi"/>
        </w:rPr>
        <w:t xml:space="preserve"> para o município.</w:t>
      </w:r>
    </w:p>
    <w:p w:rsidR="00C829EC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3683" w:rsidRPr="00163F50" w:rsidP="00163F50" w14:paraId="3F207526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105B00" w:rsidP="00105B00" w14:paraId="636E05C0" w14:textId="1A1751E2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105B00">
        <w:rPr>
          <w:rStyle w:val="Strong"/>
          <w:rFonts w:asciiTheme="majorHAnsi" w:hAnsiTheme="majorHAnsi" w:cstheme="majorHAnsi"/>
        </w:rPr>
        <w:t>SALA DAS SESSÕES</w:t>
      </w:r>
      <w:r w:rsidR="004A7437">
        <w:rPr>
          <w:rStyle w:val="Strong"/>
          <w:rFonts w:asciiTheme="majorHAnsi" w:hAnsiTheme="majorHAnsi" w:cstheme="majorHAnsi"/>
        </w:rPr>
        <w:t xml:space="preserve"> “VEREADOR SANTO RÓTTOLI”, em 23</w:t>
      </w:r>
      <w:r w:rsidRPr="00105B00">
        <w:rPr>
          <w:rStyle w:val="Strong"/>
          <w:rFonts w:asciiTheme="majorHAnsi" w:hAnsiTheme="majorHAnsi" w:cstheme="majorHAnsi"/>
        </w:rPr>
        <w:t xml:space="preserve"> de setembro de 2025.</w:t>
      </w:r>
    </w:p>
    <w:p w:rsidR="00103683" w:rsidP="00105B00" w14:paraId="5B3B1542" w14:textId="77777777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5B6271" w:rsidRPr="00105B00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105B00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105B00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RPr="00105B00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3683" w:rsidRPr="00103683" w:rsidP="00103683" w14:paraId="7A5B9E29" w14:textId="55F8A6B6">
      <w:pPr>
        <w:pStyle w:val="Heading3"/>
        <w:spacing w:line="360" w:lineRule="auto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</w:t>
      </w:r>
    </w:p>
    <w:p w:rsidR="00103683" w:rsidRPr="00387C31" w:rsidP="00103683" w14:paraId="27CF7991" w14:textId="571E652A">
      <w:pPr>
        <w:pStyle w:val="NormalWeb"/>
        <w:numPr>
          <w:ilvl w:val="0"/>
          <w:numId w:val="25"/>
        </w:numPr>
      </w:pPr>
      <w:r>
        <w:rPr>
          <w:b/>
          <w:bCs/>
        </w:rPr>
        <w:t>BRASIL.</w:t>
      </w:r>
      <w:r>
        <w:t xml:space="preserve"> </w:t>
      </w:r>
      <w:hyperlink r:id="rId5" w:tgtFrame="_blank" w:history="1">
        <w:r w:rsidRPr="00387C31">
          <w:rPr>
            <w:rStyle w:val="Hyperlink"/>
            <w:color w:val="auto"/>
          </w:rPr>
          <w:t>Constituição da República Federativa do Brasil de 1988.</w:t>
        </w:r>
      </w:hyperlink>
      <w:r w:rsidRPr="00387C31">
        <w:t xml:space="preserve"> </w:t>
      </w:r>
    </w:p>
    <w:p w:rsidR="00103683" w:rsidP="00103683" w14:paraId="5D777C7A" w14:textId="77777777">
      <w:pPr>
        <w:pStyle w:val="NormalWeb"/>
        <w:numPr>
          <w:ilvl w:val="0"/>
          <w:numId w:val="25"/>
        </w:numPr>
      </w:pPr>
      <w:r>
        <w:rPr>
          <w:b/>
          <w:bCs/>
        </w:rPr>
        <w:t>INSTITUTO PRÓ-LIVRO; ITAÚ CULTURAL.</w:t>
      </w:r>
      <w:r>
        <w:t xml:space="preserve"> </w:t>
      </w:r>
      <w:r>
        <w:rPr>
          <w:i/>
          <w:iCs/>
        </w:rPr>
        <w:t>Retratos da Leitura no Brasil: 6ª edição.</w:t>
      </w:r>
      <w:r>
        <w:t xml:space="preserve"> São Paulo: Instituto Pró-Livro, 2024.</w:t>
      </w:r>
    </w:p>
    <w:p w:rsidR="00103683" w:rsidP="00103683" w14:paraId="4BEF3521" w14:textId="77777777">
      <w:pPr>
        <w:pStyle w:val="NormalWeb"/>
        <w:numPr>
          <w:ilvl w:val="0"/>
          <w:numId w:val="25"/>
        </w:numPr>
      </w:pPr>
      <w:r>
        <w:rPr>
          <w:b/>
          <w:bCs/>
        </w:rPr>
        <w:t>MOGI MIRIM.</w:t>
      </w:r>
      <w:r>
        <w:t xml:space="preserve"> Câmara Municipal de Mogi Mirim. </w:t>
      </w:r>
      <w:r>
        <w:rPr>
          <w:i/>
          <w:iCs/>
        </w:rPr>
        <w:t>Projeto de Lei Nº 114/2025.</w:t>
      </w:r>
    </w:p>
    <w:p w:rsidR="00103683" w:rsidP="00103683" w14:paraId="32D6008A" w14:textId="77777777">
      <w:pPr>
        <w:pStyle w:val="NormalWeb"/>
        <w:numPr>
          <w:ilvl w:val="0"/>
          <w:numId w:val="25"/>
        </w:numPr>
      </w:pPr>
      <w:r>
        <w:rPr>
          <w:b/>
          <w:bCs/>
        </w:rPr>
        <w:t>MOGI MIRIM.</w:t>
      </w:r>
      <w:r>
        <w:t xml:space="preserve"> Câmara Municipal de Mogi Mirim. </w:t>
      </w:r>
      <w:r>
        <w:rPr>
          <w:i/>
          <w:iCs/>
        </w:rPr>
        <w:t>Relatório do Projeto de Lei Nº 114/2025.</w:t>
      </w:r>
    </w:p>
    <w:p w:rsidR="00103683" w:rsidP="00103683" w14:paraId="56DF87E5" w14:textId="77777777">
      <w:pPr>
        <w:pStyle w:val="NormalWeb"/>
        <w:numPr>
          <w:ilvl w:val="0"/>
          <w:numId w:val="25"/>
        </w:numPr>
      </w:pPr>
      <w:r>
        <w:rPr>
          <w:b/>
          <w:bCs/>
        </w:rPr>
        <w:t>SGP CONSULTORIA.</w:t>
      </w:r>
      <w:r>
        <w:t xml:space="preserve"> </w:t>
      </w:r>
      <w:r>
        <w:rPr>
          <w:i/>
          <w:iCs/>
        </w:rPr>
        <w:t>Consulta/0517/2025/DDR/G.</w:t>
      </w:r>
      <w:r>
        <w:t xml:space="preserve"> Parecer Jurídico sobre o Projeto de Lei nº 114/2025.</w:t>
      </w:r>
    </w:p>
    <w:p w:rsidR="00103683" w:rsidP="00103683" w14:paraId="586D4D42" w14:textId="77777777">
      <w:pPr>
        <w:pStyle w:val="NormalWeb"/>
        <w:numPr>
          <w:ilvl w:val="0"/>
          <w:numId w:val="25"/>
        </w:numPr>
      </w:pPr>
      <w:r>
        <w:rPr>
          <w:b/>
          <w:bCs/>
        </w:rPr>
        <w:t>SUPREMO TRIBUNAL FEDERAL (STF).</w:t>
      </w:r>
      <w:r>
        <w:t xml:space="preserve"> </w:t>
      </w:r>
      <w:r>
        <w:rPr>
          <w:i/>
          <w:iCs/>
        </w:rPr>
        <w:t>ARE 878911 RG / RJ - RIO DE JANEIRO.</w:t>
      </w:r>
      <w:r>
        <w:t xml:space="preserve"> Recurso Extraordinário com Agravo (Repercussão Geral). Relator: Min. Gilmar Mendes, julgado em 10/10/2016.</w:t>
      </w:r>
    </w:p>
    <w:p w:rsidR="00103683" w:rsidP="00103683" w14:paraId="7439BA7C" w14:textId="77777777">
      <w:pPr>
        <w:pStyle w:val="NormalWeb"/>
        <w:numPr>
          <w:ilvl w:val="0"/>
          <w:numId w:val="25"/>
        </w:numPr>
      </w:pPr>
      <w:r>
        <w:rPr>
          <w:b/>
          <w:bCs/>
        </w:rPr>
        <w:t>TRIBUNAL DE JUSTIÇA DE SÃO PAULO (TJSP).</w:t>
      </w:r>
      <w:r>
        <w:t xml:space="preserve"> </w:t>
      </w:r>
      <w:r>
        <w:rPr>
          <w:i/>
          <w:iCs/>
        </w:rPr>
        <w:t>Ação Direta de Inconstitucionalidade n.º 2155552-21.2023.8.26.0000.</w:t>
      </w:r>
      <w:r>
        <w:t xml:space="preserve"> Relator: Des. Tasso Duarte de Melo, julgado em 29/11/2023.</w:t>
      </w:r>
    </w:p>
    <w:p w:rsidR="00103683" w:rsidRPr="00103683" w:rsidP="00103683" w14:paraId="162CC311" w14:textId="77777777"/>
    <w:p w:rsidR="004A7437" w:rsidP="005B6271" w14:paraId="5CA2969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477E9B5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74DB03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A6D808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5E77E8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CEDB438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627A48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9DED2B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447696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2A2D4C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BCAB48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3A7BB89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376653A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BA2ECE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4663FB7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1A7308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5FCF40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142B3DC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9ED2DA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7AFDCC1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758A84E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E1AC03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34D7791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0DF0D13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A97E9A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0EB72F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3A79DD8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105F2EF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01627260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COMISSÃO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IA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SOCIAL </w:t>
      </w:r>
      <w:r w:rsidRPr="00105B00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REFERENTE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DE </w:t>
      </w:r>
      <w:r w:rsidR="000C286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LEI Nº 114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</w:t>
      </w:r>
      <w:r w:rsidR="000C286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JOÃO VICTOR COUTINHO GASPARINI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105B00" w:rsidP="005B6271" w14:paraId="4C1DE4C6" w14:textId="7F5A919F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C27829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</w:t>
      </w:r>
      <w:r w:rsidRPr="00105B00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Comissão de Educação, Saúde, Cultura, Esporte e Assistência Social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16C2754B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em 23 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>de setembro de 2025</w:t>
      </w:r>
    </w:p>
    <w:p w:rsidR="00E80CA9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05B00" w:rsidP="00E80CA9" w14:paraId="5E9E00D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EDUCAÇÃO, SAÚDE, CULTURA, ESPORTE E ASSISTÊNCIA SOCIAL </w:t>
      </w:r>
    </w:p>
    <w:p w:rsidR="00E80CA9" w:rsidRPr="00105B00" w:rsidP="00E80CA9" w14:paraId="6E926861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01BB4741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ERNANI LUIZ DONATTI GRAGNANELLO</w:t>
      </w:r>
    </w:p>
    <w:p w:rsidR="00E80CA9" w:rsidRPr="00105B00" w:rsidP="00E80CA9" w14:paraId="08A93F64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P="00E80CA9" w14:paraId="5FF18A56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62659580" w14:textId="77777777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EVERTON BOMBARDA</w:t>
      </w:r>
    </w:p>
    <w:p w:rsidR="00E80CA9" w:rsidRPr="00105B00" w:rsidP="00E80CA9" w14:paraId="67F24541" w14:textId="6E253447">
      <w:pPr>
        <w:spacing w:before="240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105B00" w:rsidP="00E80CA9" w14:paraId="5457BDF5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05B00" w:rsidP="00E80CA9" w14:paraId="451F36B2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E80CA9" w:rsidRPr="00105B00" w:rsidP="00E80CA9" w14:paraId="59822A92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105B00" w:rsidP="00E80CA9" w14:paraId="71A8100F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E80CA9" w:rsidP="005B6271" w14:paraId="60B01838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F069F9" w14:paraId="2126C99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80F976A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3930B23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1C32F494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9DD9580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74BD3121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GoBack"/>
      <w:bookmarkEnd w:id="0"/>
    </w:p>
    <w:sectPr w:rsidSect="00103727">
      <w:headerReference w:type="even" r:id="rId6"/>
      <w:headerReference w:type="default" r:id="rId7"/>
      <w:footerReference w:type="default" r:id="rId8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637BD"/>
    <w:multiLevelType w:val="multilevel"/>
    <w:tmpl w:val="F758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F81884"/>
    <w:multiLevelType w:val="multilevel"/>
    <w:tmpl w:val="8EF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87475"/>
    <w:multiLevelType w:val="multilevel"/>
    <w:tmpl w:val="0CC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1"/>
  </w:num>
  <w:num w:numId="5">
    <w:abstractNumId w:val="22"/>
  </w:num>
  <w:num w:numId="6">
    <w:abstractNumId w:val="24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8"/>
  </w:num>
  <w:num w:numId="13">
    <w:abstractNumId w:val="0"/>
  </w:num>
  <w:num w:numId="14">
    <w:abstractNumId w:val="4"/>
  </w:num>
  <w:num w:numId="15">
    <w:abstractNumId w:val="21"/>
  </w:num>
  <w:num w:numId="16">
    <w:abstractNumId w:val="19"/>
  </w:num>
  <w:num w:numId="17">
    <w:abstractNumId w:val="9"/>
  </w:num>
  <w:num w:numId="18">
    <w:abstractNumId w:val="16"/>
  </w:num>
  <w:num w:numId="19">
    <w:abstractNumId w:val="23"/>
  </w:num>
  <w:num w:numId="20">
    <w:abstractNumId w:val="1"/>
  </w:num>
  <w:num w:numId="21">
    <w:abstractNumId w:val="20"/>
  </w:num>
  <w:num w:numId="22">
    <w:abstractNumId w:val="3"/>
  </w:num>
  <w:num w:numId="23">
    <w:abstractNumId w:val="13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2866"/>
    <w:rsid w:val="000C3715"/>
    <w:rsid w:val="000E49AD"/>
    <w:rsid w:val="000F1F6F"/>
    <w:rsid w:val="000F4933"/>
    <w:rsid w:val="001025C3"/>
    <w:rsid w:val="00103683"/>
    <w:rsid w:val="00103727"/>
    <w:rsid w:val="00105B00"/>
    <w:rsid w:val="00114B97"/>
    <w:rsid w:val="00126AE5"/>
    <w:rsid w:val="0015590E"/>
    <w:rsid w:val="00163F50"/>
    <w:rsid w:val="001721C9"/>
    <w:rsid w:val="00173831"/>
    <w:rsid w:val="00177254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87C31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2070"/>
    <w:rsid w:val="005066C3"/>
    <w:rsid w:val="005169B0"/>
    <w:rsid w:val="005242B1"/>
    <w:rsid w:val="00543E03"/>
    <w:rsid w:val="0055000D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1001"/>
    <w:rsid w:val="00613747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528F"/>
    <w:rsid w:val="006E3A0E"/>
    <w:rsid w:val="006E5FE6"/>
    <w:rsid w:val="006F48DD"/>
    <w:rsid w:val="00700836"/>
    <w:rsid w:val="007038AD"/>
    <w:rsid w:val="0071111B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63D24"/>
    <w:rsid w:val="00864928"/>
    <w:rsid w:val="00881E60"/>
    <w:rsid w:val="008905C2"/>
    <w:rsid w:val="008A3797"/>
    <w:rsid w:val="008A537A"/>
    <w:rsid w:val="008C08C5"/>
    <w:rsid w:val="008C08CE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A5233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C0516E"/>
    <w:rsid w:val="00C10154"/>
    <w:rsid w:val="00C27829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0D71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character" w:styleId="HTMLCode">
    <w:name w:val="HTML Code"/>
    <w:basedOn w:val="DefaultParagraphFont"/>
    <w:uiPriority w:val="99"/>
    <w:semiHidden/>
    <w:unhideWhenUsed/>
    <w:rsid w:val="001036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constituicao/constituicao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CE8B-88CA-4C6C-81EB-1B432C18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1202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4</cp:revision>
  <cp:lastPrinted>2025-02-18T14:53:00Z</cp:lastPrinted>
  <dcterms:created xsi:type="dcterms:W3CDTF">2025-09-23T17:56:00Z</dcterms:created>
  <dcterms:modified xsi:type="dcterms:W3CDTF">2025-09-24T15:39:00Z</dcterms:modified>
</cp:coreProperties>
</file>