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FC2194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5C14CE" w:rsidRPr="009C0995" w:rsidP="009C0995" w14:paraId="13EB12E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9C0995" w:rsidP="009C0995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9C0995">
        <w:rPr>
          <w:b/>
          <w:color w:val="000000" w:themeColor="text1"/>
          <w:sz w:val="24"/>
          <w:szCs w:val="24"/>
        </w:rPr>
        <w:t>RELATÓRIO</w:t>
      </w:r>
    </w:p>
    <w:p w:rsidR="00A155B7" w:rsidRPr="009C0995" w:rsidP="009C0995" w14:paraId="052508B3" w14:textId="5566F910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9C0995">
        <w:rPr>
          <w:rStyle w:val="Strong"/>
          <w:color w:val="000000" w:themeColor="text1"/>
        </w:rPr>
        <w:t>SUBSTITUTIVO</w:t>
      </w:r>
      <w:r w:rsidRPr="009C0995" w:rsidR="00441727">
        <w:rPr>
          <w:rStyle w:val="Strong"/>
          <w:color w:val="000000" w:themeColor="text1"/>
        </w:rPr>
        <w:t xml:space="preserve"> Nº 1</w:t>
      </w:r>
      <w:r w:rsidRPr="009C0995">
        <w:rPr>
          <w:rStyle w:val="Strong"/>
          <w:color w:val="000000" w:themeColor="text1"/>
        </w:rPr>
        <w:t xml:space="preserve"> AO </w:t>
      </w:r>
      <w:r w:rsidRPr="009C0995" w:rsidR="006F3969">
        <w:rPr>
          <w:rStyle w:val="Strong"/>
          <w:color w:val="000000" w:themeColor="text1"/>
        </w:rPr>
        <w:t>PRO</w:t>
      </w:r>
      <w:r w:rsidRPr="009C0995" w:rsidR="00BA6C13">
        <w:rPr>
          <w:rStyle w:val="Strong"/>
          <w:color w:val="000000" w:themeColor="text1"/>
        </w:rPr>
        <w:t xml:space="preserve">JETO DE </w:t>
      </w:r>
      <w:r w:rsidRPr="009C0995" w:rsidR="00FB2327">
        <w:rPr>
          <w:rStyle w:val="Strong"/>
          <w:color w:val="000000" w:themeColor="text1"/>
        </w:rPr>
        <w:t>LEI</w:t>
      </w:r>
      <w:r w:rsidRPr="009C0995" w:rsidR="00BA6C13">
        <w:rPr>
          <w:rStyle w:val="Strong"/>
          <w:color w:val="000000" w:themeColor="text1"/>
        </w:rPr>
        <w:t xml:space="preserve"> Nº </w:t>
      </w:r>
      <w:r w:rsidRPr="009C0995" w:rsidR="00590458">
        <w:rPr>
          <w:rStyle w:val="Strong"/>
          <w:color w:val="000000" w:themeColor="text1"/>
        </w:rPr>
        <w:t>47 DE</w:t>
      </w:r>
      <w:r w:rsidRPr="009C0995" w:rsidR="00F74441">
        <w:rPr>
          <w:rStyle w:val="Strong"/>
          <w:color w:val="000000" w:themeColor="text1"/>
        </w:rPr>
        <w:t xml:space="preserve"> 2025</w:t>
      </w:r>
    </w:p>
    <w:p w:rsidR="00F74441" w:rsidRPr="009C0995" w:rsidP="009C0995" w14:paraId="4DE9CBF8" w14:textId="290C1D13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9C0995">
        <w:rPr>
          <w:rStyle w:val="Emphasis"/>
          <w:color w:val="000000" w:themeColor="text1"/>
        </w:rPr>
        <w:t>“</w:t>
      </w:r>
      <w:r w:rsidRPr="009C0995">
        <w:t>D</w:t>
      </w:r>
      <w:r w:rsidRPr="009C0995">
        <w:t>ISPÕE SOBRE A OBRIGATORIEDADE DE DIVULGAR A LISTA DE ESPERA POR VAGAS NOS ESTABELECIMENTOS DE EDUCAÇÃO BÁSICA DA PREFEITURA MUNICIPAL DE MOGI MIRIM”.</w:t>
      </w:r>
    </w:p>
    <w:p w:rsidR="00F74441" w:rsidRPr="009C0995" w:rsidP="009C0995" w14:paraId="255CBB13" w14:textId="7910DB15">
      <w:pPr>
        <w:pStyle w:val="NormalWeb"/>
        <w:spacing w:line="360" w:lineRule="auto"/>
        <w:rPr>
          <w:color w:val="000000" w:themeColor="text1"/>
        </w:rPr>
      </w:pPr>
      <w:r w:rsidRPr="009C0995">
        <w:rPr>
          <w:rStyle w:val="Strong"/>
          <w:color w:val="000000" w:themeColor="text1"/>
        </w:rPr>
        <w:t xml:space="preserve">RELATOR: VEREADOR </w:t>
      </w:r>
      <w:r w:rsidRPr="009C0995" w:rsidR="006F3969">
        <w:rPr>
          <w:rStyle w:val="Strong"/>
          <w:color w:val="000000" w:themeColor="text1"/>
        </w:rPr>
        <w:t>MANOEL EDUARDO PEREIRA DA CRUZ PALOMINO</w:t>
      </w: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9C0995" w:rsidP="009C0995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9C0995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DF7987" w:rsidRPr="009C0995" w:rsidP="009C0995" w14:paraId="23A414D7" w14:textId="77777777">
      <w:pPr>
        <w:pStyle w:val="NormalWeb"/>
        <w:spacing w:line="360" w:lineRule="auto"/>
        <w:jc w:val="both"/>
      </w:pPr>
      <w:r w:rsidRPr="009C0995">
        <w:rPr>
          <w:color w:val="000000" w:themeColor="text1"/>
        </w:rPr>
        <w:tab/>
      </w:r>
      <w:r w:rsidRPr="009C0995">
        <w:t>O Projeto de Lei nº 47/2025, de iniciativa parlamentar, tinha como objetivo determinar a divulgação da demanda atendida e da lista de espera por vagas em creches, EMEIs e EMEFs municipais.</w:t>
      </w:r>
    </w:p>
    <w:p w:rsidR="00DF7987" w:rsidRPr="009C0995" w:rsidP="009C0995" w14:paraId="68C04A8E" w14:textId="77777777">
      <w:pPr>
        <w:pStyle w:val="NormalWeb"/>
        <w:spacing w:line="360" w:lineRule="auto"/>
        <w:jc w:val="both"/>
      </w:pPr>
      <w:r w:rsidRPr="009C0995">
        <w:t xml:space="preserve">A Consultoria Jurídica da Câmara (SGP) analisou a proposição original, reconhecendo a </w:t>
      </w:r>
      <w:r w:rsidRPr="009C0995">
        <w:rPr>
          <w:rStyle w:val="Strong"/>
        </w:rPr>
        <w:t>competência municipal supletiva e concorrente</w:t>
      </w:r>
      <w:r w:rsidRPr="009C0995">
        <w:t xml:space="preserve"> em matéria educacional e de interesse local (CF, arts. 23, V; 24, IX; 30, I e II). Contudo, apontou </w:t>
      </w:r>
      <w:r w:rsidRPr="009C0995">
        <w:rPr>
          <w:rStyle w:val="Strong"/>
        </w:rPr>
        <w:t>vício de inconstitucionalidade formal</w:t>
      </w:r>
      <w:r w:rsidRPr="009C0995">
        <w:t xml:space="preserve">: a redação impunha atribuições diretas à Secretaria Municipal de Educação (formas de divulgação, prazos e institutos administrativos), violando o </w:t>
      </w:r>
      <w:r w:rsidRPr="009C0995">
        <w:rPr>
          <w:rStyle w:val="Strong"/>
        </w:rPr>
        <w:t>princípio da separação de poderes</w:t>
      </w:r>
      <w:r w:rsidRPr="009C0995">
        <w:t xml:space="preserve"> (CF, art. 2º).</w:t>
      </w:r>
    </w:p>
    <w:p w:rsidR="00DF7987" w:rsidRPr="009C0995" w:rsidP="009C0995" w14:paraId="33F90A3F" w14:textId="77777777">
      <w:pPr>
        <w:pStyle w:val="NormalWeb"/>
        <w:spacing w:line="360" w:lineRule="auto"/>
        <w:jc w:val="both"/>
      </w:pPr>
      <w:r w:rsidRPr="009C0995">
        <w:t xml:space="preserve">O Substitutivo nº 1, de autoria parlamentar, manteve o objetivo central de garantir </w:t>
      </w:r>
      <w:r w:rsidRPr="009C0995">
        <w:rPr>
          <w:rStyle w:val="Strong"/>
        </w:rPr>
        <w:t>transparência e acesso à informação</w:t>
      </w:r>
      <w:r w:rsidRPr="009C0995">
        <w:t>, mas trouxe ajustes, entre eles:</w:t>
      </w:r>
    </w:p>
    <w:p w:rsidR="00DF7987" w:rsidRPr="009C0995" w:rsidP="009C0995" w14:paraId="740AD27F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9C0995">
        <w:t>Definição de que a lista de espera será divulgada trimestralmente no Jornal Oficial, site da Prefeitura e nos quadros de aviso das escolas;</w:t>
      </w:r>
    </w:p>
    <w:p w:rsidR="00DF7987" w:rsidRPr="009C0995" w:rsidP="009C0995" w14:paraId="5E3A5A81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9C0995">
        <w:t>Envio aos Conselhos Tutelar, CMDCA, da Educação e do FUNDEB;</w:t>
      </w:r>
    </w:p>
    <w:p w:rsidR="00DF7987" w:rsidRPr="009C0995" w:rsidP="009C0995" w14:paraId="7FAEF72D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9C0995">
        <w:t>Obrigação de a Secretaria de Educação apresentar critérios de elaboração da lista em até 90 dias, com publicação e análise anual após o Censo Escolar;</w:t>
      </w:r>
    </w:p>
    <w:p w:rsidR="00DF7987" w:rsidRPr="009C0995" w:rsidP="009C0995" w14:paraId="764D8443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9C0995">
        <w:t>Possibilidade de designar escola polo por região;</w:t>
      </w:r>
    </w:p>
    <w:p w:rsidR="00DF7987" w:rsidRPr="009C0995" w:rsidP="009C0995" w14:paraId="16D7F58E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9C0995">
        <w:t>Previsão de regulamentação pela própria Secretaria.</w:t>
      </w:r>
    </w:p>
    <w:p w:rsidR="00CB631F" w:rsidRPr="009C0995" w:rsidP="009C0995" w14:paraId="653912C2" w14:textId="50C425B6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9C0995" w:rsidP="009C0995" w14:paraId="380FED2D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9C0995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CB631F" w:rsidRPr="009C0995" w:rsidP="009C0995" w14:paraId="54F48B15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9C0995" w:rsidP="009C0995" w14:paraId="560AAA5E" w14:textId="75EACE1A">
      <w:pPr>
        <w:pStyle w:val="Heading4"/>
        <w:numPr>
          <w:ilvl w:val="0"/>
          <w:numId w:val="15"/>
        </w:numPr>
        <w:spacing w:line="360" w:lineRule="auto"/>
        <w:jc w:val="both"/>
        <w:rPr>
          <w:rStyle w:val="Strong"/>
          <w:b/>
          <w:bCs w:val="0"/>
          <w:color w:val="000000" w:themeColor="text1"/>
        </w:rPr>
      </w:pPr>
      <w:r w:rsidRPr="009C0995">
        <w:rPr>
          <w:rStyle w:val="Strong"/>
          <w:b/>
          <w:bCs w:val="0"/>
          <w:color w:val="000000" w:themeColor="text1"/>
        </w:rPr>
        <w:t>Legalidade e Constitucionalidade</w:t>
      </w:r>
    </w:p>
    <w:p w:rsidR="00DF7987" w:rsidRPr="009C0995" w:rsidP="009C0995" w14:paraId="4E4A9CD7" w14:textId="77777777">
      <w:pPr>
        <w:spacing w:line="360" w:lineRule="auto"/>
        <w:jc w:val="both"/>
        <w:rPr>
          <w:sz w:val="24"/>
          <w:szCs w:val="24"/>
        </w:rPr>
      </w:pPr>
    </w:p>
    <w:p w:rsidR="00DF7987" w:rsidRPr="009C0995" w:rsidP="009C0995" w14:paraId="777D14D3" w14:textId="77777777">
      <w:pPr>
        <w:pStyle w:val="NormalWeb"/>
        <w:numPr>
          <w:ilvl w:val="0"/>
          <w:numId w:val="17"/>
        </w:numPr>
        <w:spacing w:line="360" w:lineRule="auto"/>
        <w:jc w:val="both"/>
      </w:pPr>
      <w:r w:rsidRPr="009C0995">
        <w:rPr>
          <w:color w:val="000000" w:themeColor="text1"/>
        </w:rPr>
        <w:tab/>
      </w:r>
      <w:r w:rsidRPr="009C0995">
        <w:rPr>
          <w:rStyle w:val="Strong"/>
        </w:rPr>
        <w:t>Aspectos positivos:</w:t>
      </w:r>
    </w:p>
    <w:p w:rsidR="00DF7987" w:rsidRPr="009C0995" w:rsidP="009C0995" w14:paraId="1494DF09" w14:textId="77777777">
      <w:pPr>
        <w:pStyle w:val="NormalWeb"/>
        <w:numPr>
          <w:ilvl w:val="1"/>
          <w:numId w:val="17"/>
        </w:numPr>
        <w:spacing w:line="360" w:lineRule="auto"/>
        <w:jc w:val="both"/>
      </w:pPr>
      <w:r w:rsidRPr="009C0995">
        <w:t xml:space="preserve">A matéria versa sobre transparência e publicidade de atos administrativos, vinculados ao </w:t>
      </w:r>
      <w:r w:rsidRPr="009C0995">
        <w:rPr>
          <w:rStyle w:val="Strong"/>
        </w:rPr>
        <w:t>direito constitucional à informação</w:t>
      </w:r>
      <w:r w:rsidRPr="009C0995">
        <w:t xml:space="preserve"> (CF, art. 5º, XXXIII; art. 37, caput).</w:t>
      </w:r>
    </w:p>
    <w:p w:rsidR="00DF7987" w:rsidRPr="009C0995" w:rsidP="009C0995" w14:paraId="2E3D23D4" w14:textId="77777777">
      <w:pPr>
        <w:pStyle w:val="NormalWeb"/>
        <w:numPr>
          <w:ilvl w:val="1"/>
          <w:numId w:val="17"/>
        </w:numPr>
        <w:spacing w:line="360" w:lineRule="auto"/>
        <w:jc w:val="both"/>
      </w:pPr>
      <w:r w:rsidRPr="009C0995">
        <w:t>A iniciativa parlamentar é admitida em temas de interesse local que não interfiram diretamente na organização administrativa do Executivo (STF, Tema 917 – ARE 878.911/RG).</w:t>
      </w:r>
    </w:p>
    <w:p w:rsidR="00DF7987" w:rsidRPr="009C0995" w:rsidP="009C0995" w14:paraId="7A944165" w14:textId="77777777">
      <w:pPr>
        <w:pStyle w:val="NormalWeb"/>
        <w:numPr>
          <w:ilvl w:val="0"/>
          <w:numId w:val="17"/>
        </w:numPr>
        <w:spacing w:line="360" w:lineRule="auto"/>
        <w:jc w:val="both"/>
      </w:pPr>
      <w:r w:rsidRPr="009C0995">
        <w:rPr>
          <w:rStyle w:val="Strong"/>
        </w:rPr>
        <w:t>Persistência de vício:</w:t>
      </w:r>
    </w:p>
    <w:p w:rsidR="00DF7987" w:rsidRPr="009C0995" w:rsidP="009C0995" w14:paraId="249DC78A" w14:textId="77777777">
      <w:pPr>
        <w:pStyle w:val="NormalWeb"/>
        <w:numPr>
          <w:ilvl w:val="1"/>
          <w:numId w:val="17"/>
        </w:numPr>
        <w:spacing w:line="360" w:lineRule="auto"/>
        <w:jc w:val="both"/>
      </w:pPr>
      <w:r w:rsidRPr="009C0995">
        <w:t xml:space="preserve">Apesar do substitutivo suavizar alguns pontos, </w:t>
      </w:r>
      <w:r w:rsidRPr="009C0995">
        <w:rPr>
          <w:rStyle w:val="Strong"/>
        </w:rPr>
        <w:t>permanece a imposição de obrigações específicas à Secretaria de Educação</w:t>
      </w:r>
      <w:r w:rsidRPr="009C0995">
        <w:t xml:space="preserve"> (prazos fixos, formas determinadas de divulgação, planejamento de curto e médio prazo, análise anual, possibilidade de designar escola polo).</w:t>
      </w:r>
    </w:p>
    <w:p w:rsidR="00DF7987" w:rsidRPr="009C0995" w:rsidP="009C0995" w14:paraId="53FCB8BF" w14:textId="77777777">
      <w:pPr>
        <w:pStyle w:val="NormalWeb"/>
        <w:numPr>
          <w:ilvl w:val="1"/>
          <w:numId w:val="17"/>
        </w:numPr>
        <w:spacing w:line="360" w:lineRule="auto"/>
        <w:jc w:val="both"/>
      </w:pPr>
      <w:r w:rsidRPr="009C0995">
        <w:t xml:space="preserve">Tais dispositivos extrapolam o caráter de </w:t>
      </w:r>
      <w:r w:rsidRPr="009C0995">
        <w:rPr>
          <w:rStyle w:val="Strong"/>
        </w:rPr>
        <w:t>diretriz geral</w:t>
      </w:r>
      <w:r w:rsidRPr="009C0995">
        <w:t>, configurando ingerência do Legislativo sobre a gestão administrativa do Executivo, o que já foi considerado inconstitucional pelo TJSP em casos semelhantes (ADI nº 2017779-07.2018.8.26.0000; ADI nº 2226296-46.2020.8.26.0000).</w:t>
      </w:r>
    </w:p>
    <w:p w:rsidR="00DF7987" w:rsidRPr="009C0995" w:rsidP="009C0995" w14:paraId="21485965" w14:textId="77777777">
      <w:pPr>
        <w:pStyle w:val="NormalWeb"/>
        <w:numPr>
          <w:ilvl w:val="0"/>
          <w:numId w:val="17"/>
        </w:numPr>
        <w:spacing w:line="360" w:lineRule="auto"/>
        <w:jc w:val="both"/>
      </w:pPr>
      <w:r w:rsidRPr="009C0995">
        <w:rPr>
          <w:rStyle w:val="Strong"/>
        </w:rPr>
        <w:t>Regulamentação:</w:t>
      </w:r>
    </w:p>
    <w:p w:rsidR="00DF7987" w:rsidRPr="009C0995" w:rsidP="009C0995" w14:paraId="6F9A41A5" w14:textId="77777777">
      <w:pPr>
        <w:pStyle w:val="NormalWeb"/>
        <w:numPr>
          <w:ilvl w:val="1"/>
          <w:numId w:val="17"/>
        </w:numPr>
        <w:spacing w:line="360" w:lineRule="auto"/>
        <w:jc w:val="both"/>
      </w:pPr>
      <w:r w:rsidRPr="009C0995">
        <w:t>O art. 3º prevê que a lei será regulamentada pela Secretaria. A obrigatoriedade de regulamentação dentro de prazo específico (art. 2º, §2º) afronta a separação de poderes, uma vez que o poder regulamentar é discricionário do Prefeito.</w:t>
      </w:r>
    </w:p>
    <w:p w:rsidR="00DF7987" w:rsidP="009C0995" w14:paraId="0BD53B80" w14:textId="6FB24E53">
      <w:pPr>
        <w:pStyle w:val="NormalWeb"/>
        <w:spacing w:line="360" w:lineRule="auto"/>
        <w:jc w:val="both"/>
      </w:pPr>
      <w:r w:rsidRPr="009C0995">
        <w:rPr>
          <w:rStyle w:val="Strong"/>
        </w:rPr>
        <w:t>Conclusão:</w:t>
      </w:r>
      <w:r w:rsidRPr="009C0995">
        <w:t xml:space="preserve"> O substitutivo atenua, mas </w:t>
      </w:r>
      <w:r w:rsidRPr="009C0995">
        <w:rPr>
          <w:rStyle w:val="Strong"/>
        </w:rPr>
        <w:t>não elimina</w:t>
      </w:r>
      <w:r w:rsidRPr="009C0995">
        <w:t xml:space="preserve"> os vícios constitucionais apontados pela SGP. Persistem normas que criam atribuições administrativas, violando o princípio da separação dos poderes.</w:t>
      </w:r>
    </w:p>
    <w:p w:rsidR="00590458" w:rsidRPr="009C0995" w:rsidP="009C0995" w14:paraId="0161E5D9" w14:textId="77777777">
      <w:pPr>
        <w:pStyle w:val="NormalWeb"/>
        <w:spacing w:line="360" w:lineRule="auto"/>
        <w:jc w:val="both"/>
      </w:pPr>
    </w:p>
    <w:p w:rsidR="00DF7987" w:rsidRPr="009C0995" w:rsidP="009C0995" w14:paraId="0C42A21C" w14:textId="036544F9">
      <w:pPr>
        <w:pStyle w:val="BodyText"/>
        <w:spacing w:line="360" w:lineRule="auto"/>
        <w:jc w:val="both"/>
        <w:rPr>
          <w:sz w:val="24"/>
          <w:szCs w:val="24"/>
        </w:rPr>
      </w:pPr>
    </w:p>
    <w:p w:rsidR="00F74441" w:rsidP="00590458" w14:paraId="0F32780D" w14:textId="302CE56B">
      <w:pPr>
        <w:pStyle w:val="BodyText"/>
        <w:numPr>
          <w:ilvl w:val="0"/>
          <w:numId w:val="15"/>
        </w:numPr>
        <w:spacing w:line="360" w:lineRule="auto"/>
        <w:ind w:left="426"/>
        <w:jc w:val="both"/>
        <w:rPr>
          <w:rStyle w:val="Strong"/>
          <w:bCs w:val="0"/>
          <w:color w:val="000000" w:themeColor="text1"/>
          <w:sz w:val="24"/>
          <w:szCs w:val="24"/>
        </w:rPr>
      </w:pPr>
      <w:r w:rsidRPr="009C0995">
        <w:rPr>
          <w:rStyle w:val="Strong"/>
          <w:bCs w:val="0"/>
          <w:color w:val="000000" w:themeColor="text1"/>
          <w:sz w:val="24"/>
          <w:szCs w:val="24"/>
        </w:rPr>
        <w:t>Conveniência e Oportunidade</w:t>
      </w:r>
    </w:p>
    <w:p w:rsidR="00DF7987" w:rsidRPr="009C0995" w:rsidP="00590458" w14:paraId="0A047DF7" w14:textId="698A91E9">
      <w:pPr>
        <w:pStyle w:val="NormalWeb"/>
        <w:numPr>
          <w:ilvl w:val="1"/>
          <w:numId w:val="18"/>
        </w:numPr>
        <w:tabs>
          <w:tab w:val="clear" w:pos="1440"/>
        </w:tabs>
        <w:spacing w:line="360" w:lineRule="auto"/>
        <w:ind w:left="284"/>
        <w:jc w:val="both"/>
      </w:pPr>
      <w:r w:rsidRPr="009C0995">
        <w:t xml:space="preserve">O mérito da proposta é relevante e oportuno: garante </w:t>
      </w:r>
      <w:r w:rsidRPr="009C0995">
        <w:rPr>
          <w:rStyle w:val="Strong"/>
        </w:rPr>
        <w:t>transparência na gestão de vagas</w:t>
      </w:r>
      <w:r w:rsidRPr="009C0995">
        <w:t xml:space="preserve"> e fortalece o controle social e a confiança da comunidade escolar.</w:t>
      </w:r>
    </w:p>
    <w:p w:rsidR="00DF7987" w:rsidP="00590458" w14:paraId="69611EA1" w14:textId="173A442B">
      <w:pPr>
        <w:pStyle w:val="NormalWeb"/>
        <w:numPr>
          <w:ilvl w:val="1"/>
          <w:numId w:val="19"/>
        </w:numPr>
        <w:spacing w:line="360" w:lineRule="auto"/>
        <w:ind w:left="284"/>
        <w:jc w:val="both"/>
      </w:pPr>
      <w:r w:rsidRPr="009C0995">
        <w:t xml:space="preserve">Contudo, a </w:t>
      </w:r>
      <w:r w:rsidRPr="009C0995">
        <w:rPr>
          <w:rStyle w:val="Strong"/>
        </w:rPr>
        <w:t>exequibilidade depende de ajustes</w:t>
      </w:r>
      <w:r w:rsidRPr="009C0995">
        <w:t xml:space="preserve">: a lei deve se limitar a estabelecer diretriz de transparência e direito à informação, </w:t>
      </w:r>
      <w:r w:rsidRPr="009C0995">
        <w:rPr>
          <w:rStyle w:val="Strong"/>
        </w:rPr>
        <w:t>sem fixar formas rígidas, prazos ou obrigações administrativas concretas</w:t>
      </w:r>
      <w:r w:rsidRPr="009C0995">
        <w:t>, sob pena de judicialização futura.</w:t>
      </w:r>
    </w:p>
    <w:p w:rsidR="00DF7987" w:rsidRPr="009C0995" w:rsidP="00590458" w14:paraId="4DE105A4" w14:textId="5A0BF81B">
      <w:pPr>
        <w:pStyle w:val="NormalWeb"/>
        <w:numPr>
          <w:ilvl w:val="1"/>
          <w:numId w:val="19"/>
        </w:numPr>
        <w:spacing w:line="360" w:lineRule="auto"/>
        <w:ind w:left="284"/>
        <w:jc w:val="both"/>
      </w:pPr>
      <w:r w:rsidRPr="009C0995">
        <w:t xml:space="preserve">Alternativamente, o conteúdo poderia ser objeto de </w:t>
      </w:r>
      <w:r w:rsidRPr="009C0995">
        <w:rPr>
          <w:rStyle w:val="Strong"/>
        </w:rPr>
        <w:t>Indicação ao Prefeito</w:t>
      </w:r>
      <w:r w:rsidRPr="009C0995">
        <w:t>, conforme sugerido pela SGP, evitando risco de inconstitucionalidade.</w:t>
      </w:r>
    </w:p>
    <w:p w:rsidR="00590458" w:rsidP="009C0995" w14:paraId="140EE8D3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</w:p>
    <w:p w:rsidR="00F74441" w:rsidRPr="009C0995" w:rsidP="009C0995" w14:paraId="68542A3A" w14:textId="77777777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9C0995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9C0995" w:rsidRPr="009C0995" w:rsidP="009C0995" w14:paraId="0BC16AF2" w14:textId="77777777">
      <w:pPr>
        <w:pStyle w:val="NormalWeb"/>
        <w:spacing w:line="360" w:lineRule="auto"/>
        <w:jc w:val="both"/>
      </w:pPr>
      <w:r w:rsidRPr="009C0995">
        <w:rPr>
          <w:color w:val="000000" w:themeColor="text1"/>
        </w:rPr>
        <w:tab/>
      </w:r>
      <w:r w:rsidRPr="009C0995">
        <w:t>Considerando as recomendações da Consultoria Jurídica e a análise deste Relator, constatou-se a necessidade de adequações pontuais para afastar riscos de inconstitucionalidade e assegurar maior segurança jurídica à proposição.</w:t>
      </w:r>
    </w:p>
    <w:p w:rsidR="009C0995" w:rsidP="009C0995" w14:paraId="1630878E" w14:textId="77777777">
      <w:pPr>
        <w:pStyle w:val="NormalWeb"/>
        <w:spacing w:line="360" w:lineRule="auto"/>
        <w:jc w:val="both"/>
      </w:pPr>
      <w:r w:rsidRPr="009C0995">
        <w:t xml:space="preserve">Dessa forma, </w:t>
      </w:r>
      <w:r w:rsidRPr="009C0995">
        <w:rPr>
          <w:rStyle w:val="Strong"/>
        </w:rPr>
        <w:t>optou-se por apresentar, em documento separado, as emendas supressiva, modificativa e aditiva, que integram este parecer por referência</w:t>
      </w:r>
      <w:r w:rsidRPr="009C0995">
        <w:t>. Tais emendas corrigem os dispositivos que extrapolam a competência legislativa parlamentar, preservando o mérito do Projeto e a sua finalidade de assegurar transparência e publicidade no processo de matrícula e lista de espera da rede municipal de ensino.</w:t>
      </w:r>
    </w:p>
    <w:p w:rsidR="00590458" w:rsidRPr="009C0995" w:rsidP="009C0995" w14:paraId="5F058C2B" w14:textId="77777777">
      <w:pPr>
        <w:pStyle w:val="NormalWeb"/>
        <w:spacing w:line="360" w:lineRule="auto"/>
        <w:jc w:val="both"/>
      </w:pPr>
    </w:p>
    <w:p w:rsidR="00F74441" w:rsidP="009C0995" w14:paraId="0089363A" w14:textId="5E591FC0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 w:rsidRPr="009C0995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590458" w:rsidRPr="00590458" w:rsidP="00590458" w14:paraId="72DF3E16" w14:textId="77777777"/>
    <w:p w:rsidR="009C0995" w:rsidP="009C0995" w14:paraId="5583C00B" w14:textId="77777777">
      <w:pPr>
        <w:pStyle w:val="NormalWeb"/>
        <w:spacing w:line="360" w:lineRule="auto"/>
        <w:jc w:val="both"/>
      </w:pPr>
      <w:r w:rsidRPr="009C0995">
        <w:rPr>
          <w:color w:val="000000" w:themeColor="text1"/>
        </w:rPr>
        <w:tab/>
      </w:r>
      <w:r w:rsidRPr="009C0995">
        <w:t xml:space="preserve">Diante do exposto, </w:t>
      </w:r>
      <w:r w:rsidRPr="009C0995">
        <w:rPr>
          <w:rStyle w:val="Strong"/>
        </w:rPr>
        <w:t>voto pela aprovação do Substitutivo nº 1 ao Projeto de Lei nº 47/2025, condicionado à apresentação das emendas corretivas indicadas</w:t>
      </w:r>
      <w:r w:rsidRPr="009C0995">
        <w:t>, de modo a afastar vícios de inconstitucionalidade e preservar o mérito da proposição (transparência e publicidade da lista de espera).</w:t>
      </w:r>
    </w:p>
    <w:p w:rsidR="00590458" w:rsidP="009C0995" w14:paraId="795DC47B" w14:textId="77777777">
      <w:pPr>
        <w:pStyle w:val="NormalWeb"/>
        <w:spacing w:line="360" w:lineRule="auto"/>
        <w:jc w:val="both"/>
      </w:pPr>
    </w:p>
    <w:p w:rsidR="00590458" w:rsidRPr="009C0995" w:rsidP="009C0995" w14:paraId="1D479181" w14:textId="77777777">
      <w:pPr>
        <w:pStyle w:val="NormalWeb"/>
        <w:spacing w:line="360" w:lineRule="auto"/>
        <w:jc w:val="both"/>
      </w:pPr>
    </w:p>
    <w:p w:rsidR="009C0995" w:rsidRPr="009C0995" w:rsidP="009C0995" w14:paraId="3A6B442E" w14:textId="77777777">
      <w:pPr>
        <w:pStyle w:val="NormalWeb"/>
        <w:spacing w:line="360" w:lineRule="auto"/>
        <w:jc w:val="both"/>
      </w:pPr>
      <w:r w:rsidRPr="009C0995">
        <w:t xml:space="preserve">Sem tais emendas, o substitutivo permanece </w:t>
      </w:r>
      <w:r w:rsidRPr="009C0995">
        <w:rPr>
          <w:rStyle w:val="Strong"/>
        </w:rPr>
        <w:t>formalmente inconstitucional</w:t>
      </w:r>
      <w:r w:rsidRPr="009C0995">
        <w:t xml:space="preserve"> por ofensa à separação dos poderes.</w:t>
      </w:r>
    </w:p>
    <w:p w:rsidR="005C14CE" w:rsidRPr="009C0995" w:rsidP="009C0995" w14:paraId="50A9D10B" w14:textId="77777777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9C0995" w:rsidP="009C0995" w14:paraId="6AB168D8" w14:textId="3DA86690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9C0995">
        <w:rPr>
          <w:rStyle w:val="Strong"/>
          <w:color w:val="000000" w:themeColor="text1"/>
        </w:rPr>
        <w:t>SALA DAS SESSÕES</w:t>
      </w:r>
      <w:r w:rsidRPr="009C0995" w:rsidR="009C0995">
        <w:rPr>
          <w:rStyle w:val="Strong"/>
          <w:color w:val="000000" w:themeColor="text1"/>
        </w:rPr>
        <w:t xml:space="preserve"> “VEREADOR SANTO RÓTTOLI”, em 23</w:t>
      </w:r>
      <w:r w:rsidRPr="009C0995" w:rsidR="00C854A3">
        <w:rPr>
          <w:rStyle w:val="Strong"/>
          <w:color w:val="000000" w:themeColor="text1"/>
        </w:rPr>
        <w:t xml:space="preserve"> de </w:t>
      </w:r>
      <w:r w:rsidRPr="009C0995" w:rsidR="009C0995">
        <w:rPr>
          <w:rStyle w:val="Strong"/>
          <w:color w:val="000000" w:themeColor="text1"/>
        </w:rPr>
        <w:t>setembro</w:t>
      </w:r>
      <w:r w:rsidRPr="009C0995">
        <w:rPr>
          <w:rStyle w:val="Strong"/>
          <w:color w:val="000000" w:themeColor="text1"/>
        </w:rPr>
        <w:t xml:space="preserve"> de 2025.</w:t>
      </w:r>
    </w:p>
    <w:p w:rsidR="00EB4D4C" w:rsidRPr="009C0995" w:rsidP="009C0995" w14:paraId="6F50078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9C0995" w:rsidP="009C0995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9C0995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9C0995" w:rsidP="009C0995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9C0995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9C0995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9C0995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9C0995" w:rsidP="009C0995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9C0995">
        <w:rPr>
          <w:color w:val="000000" w:themeColor="text1"/>
          <w:sz w:val="24"/>
          <w:szCs w:val="24"/>
        </w:rPr>
        <w:t>Relator</w:t>
      </w:r>
    </w:p>
    <w:p w:rsidR="00EB4D4C" w:rsidRPr="009C0995" w:rsidP="009C0995" w14:paraId="6C3D4DFC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5C14CE" w:rsidRPr="009C0995" w:rsidP="009C0995" w14:paraId="1DC577DA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9C0995" w:rsidP="009C0995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9C0995" w:rsidP="009C0995" w14:paraId="010DA84F" w14:textId="7777777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9C0995">
        <w:rPr>
          <w:rStyle w:val="Strong"/>
          <w:b/>
          <w:bCs w:val="0"/>
          <w:color w:val="000000" w:themeColor="text1"/>
          <w:sz w:val="24"/>
          <w:szCs w:val="24"/>
        </w:rPr>
        <w:t>REFERÊNCIAS:</w:t>
      </w:r>
    </w:p>
    <w:p w:rsidR="009C0995" w:rsidRPr="009C0995" w:rsidP="00590458" w14:paraId="5DD16F51" w14:textId="578AAA3B">
      <w:pPr>
        <w:pStyle w:val="NormalWeb"/>
        <w:numPr>
          <w:ilvl w:val="0"/>
          <w:numId w:val="21"/>
        </w:numPr>
        <w:spacing w:line="360" w:lineRule="auto"/>
      </w:pPr>
      <w:r w:rsidRPr="009C0995">
        <w:t>Constituição Federal, arts. 2º, 5º, XXXIII, 23, V; 24, IX; 30, I e II; 37, caput.</w:t>
      </w:r>
    </w:p>
    <w:p w:rsidR="009C0995" w:rsidRPr="009C0995" w:rsidP="00590458" w14:paraId="46A855A9" w14:textId="3977175B">
      <w:pPr>
        <w:pStyle w:val="NormalWeb"/>
        <w:numPr>
          <w:ilvl w:val="0"/>
          <w:numId w:val="21"/>
        </w:numPr>
        <w:spacing w:line="360" w:lineRule="auto"/>
      </w:pPr>
      <w:r w:rsidRPr="009C0995">
        <w:t>Constituição do Estado de São Paulo, arts. 230, 240, 248.</w:t>
      </w:r>
    </w:p>
    <w:p w:rsidR="009C0995" w:rsidRPr="009C0995" w:rsidP="00590458" w14:paraId="42EB0910" w14:textId="2EEEA1F6">
      <w:pPr>
        <w:pStyle w:val="NormalWeb"/>
        <w:numPr>
          <w:ilvl w:val="0"/>
          <w:numId w:val="21"/>
        </w:numPr>
        <w:spacing w:line="360" w:lineRule="auto"/>
      </w:pPr>
      <w:r w:rsidRPr="009C0995">
        <w:t>Lei Orgânica do Município de Mogi Mirim, arts. 12, I e II; 13.</w:t>
      </w:r>
    </w:p>
    <w:p w:rsidR="009C0995" w:rsidRPr="009C0995" w:rsidP="00590458" w14:paraId="4DC78E64" w14:textId="78775FED">
      <w:pPr>
        <w:pStyle w:val="NormalWeb"/>
        <w:numPr>
          <w:ilvl w:val="0"/>
          <w:numId w:val="21"/>
        </w:numPr>
        <w:spacing w:line="360" w:lineRule="auto"/>
      </w:pPr>
      <w:r w:rsidRPr="009C0995">
        <w:t>STF, Tema 917 (ARE nº 878.911/RG).</w:t>
      </w:r>
    </w:p>
    <w:p w:rsidR="009C0995" w:rsidRPr="009C0995" w:rsidP="00590458" w14:paraId="7BAE7B86" w14:textId="6BCC9631">
      <w:pPr>
        <w:pStyle w:val="NormalWeb"/>
        <w:numPr>
          <w:ilvl w:val="0"/>
          <w:numId w:val="21"/>
        </w:numPr>
        <w:spacing w:line="360" w:lineRule="auto"/>
      </w:pPr>
      <w:r w:rsidRPr="009C0995">
        <w:t>TJSP, ADI nº 2017779-07.2018.8.26.0000; ADI nº 2226296-46.2020.8.26.0000.</w:t>
      </w:r>
    </w:p>
    <w:p w:rsidR="009C0995" w:rsidRPr="009C0995" w:rsidP="00590458" w14:paraId="6FC5C4C7" w14:textId="798ECC7D">
      <w:pPr>
        <w:pStyle w:val="NormalWeb"/>
        <w:numPr>
          <w:ilvl w:val="0"/>
          <w:numId w:val="21"/>
        </w:numPr>
        <w:spacing w:line="360" w:lineRule="auto"/>
      </w:pPr>
      <w:r w:rsidRPr="009C0995">
        <w:t xml:space="preserve">Hely Lopes Meirelles, </w:t>
      </w:r>
      <w:r w:rsidRPr="009C0995">
        <w:rPr>
          <w:rStyle w:val="Emphasis"/>
        </w:rPr>
        <w:t>Direito Municipal Brasileiro</w:t>
      </w:r>
      <w:r w:rsidRPr="009C0995">
        <w:t>, 17ª ed., Malheiros, São Paulo, 2014.</w:t>
      </w:r>
    </w:p>
    <w:p w:rsidR="009C0995" w:rsidRPr="009C0995" w:rsidP="00590458" w14:paraId="111B054D" w14:textId="5CAC5EE7">
      <w:pPr>
        <w:pStyle w:val="NormalWeb"/>
        <w:numPr>
          <w:ilvl w:val="0"/>
          <w:numId w:val="21"/>
        </w:numPr>
        <w:spacing w:line="360" w:lineRule="auto"/>
      </w:pPr>
      <w:r w:rsidRPr="009C0995">
        <w:t>Parecer SGP nº 0275/2025</w:t>
      </w:r>
    </w:p>
    <w:p w:rsidR="0011004C" w:rsidRPr="009C0995" w:rsidP="009C0995" w14:paraId="3133BAEF" w14:textId="54A709F4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9C0995" w:rsidRPr="009C0995" w:rsidP="009C0995" w14:paraId="2735AB36" w14:textId="77777777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9C0995" w:rsidRPr="009C0995" w:rsidP="009C0995" w14:paraId="50F5FABA" w14:textId="77777777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9C0995" w:rsidRPr="009C0995" w:rsidP="009C0995" w14:paraId="07A08FAF" w14:textId="77777777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9C0995" w:rsidRPr="009C0995" w:rsidP="009C0995" w14:paraId="35B4E572" w14:textId="77777777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CB631F" w:rsidRPr="009C0995" w:rsidP="009C0995" w14:paraId="106B8342" w14:textId="7E55F2A4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9C0995">
        <w:rPr>
          <w:b/>
          <w:color w:val="000000" w:themeColor="text1"/>
        </w:rPr>
        <w:t>PARECER FAVORÁVEL DA COMISSÃO DE JUSTIÇA E REDAÇÃO AO</w:t>
      </w:r>
      <w:r w:rsidRPr="009C0995" w:rsidR="00184194">
        <w:rPr>
          <w:b/>
          <w:color w:val="000000" w:themeColor="text1"/>
        </w:rPr>
        <w:t xml:space="preserve"> SUBSTITUTIVO </w:t>
      </w:r>
      <w:r w:rsidRPr="009C0995" w:rsidR="00EB4D4C">
        <w:rPr>
          <w:b/>
          <w:color w:val="000000" w:themeColor="text1"/>
        </w:rPr>
        <w:t>Nº</w:t>
      </w:r>
      <w:r w:rsidRPr="009C0995" w:rsidR="0050357A">
        <w:rPr>
          <w:b/>
          <w:color w:val="000000" w:themeColor="text1"/>
        </w:rPr>
        <w:t xml:space="preserve"> 1</w:t>
      </w:r>
      <w:r w:rsidRPr="009C0995" w:rsidR="00E90F57">
        <w:rPr>
          <w:b/>
          <w:color w:val="000000" w:themeColor="text1"/>
        </w:rPr>
        <w:t xml:space="preserve"> </w:t>
      </w:r>
      <w:r w:rsidRPr="009C0995" w:rsidR="00184194">
        <w:rPr>
          <w:b/>
          <w:color w:val="000000" w:themeColor="text1"/>
        </w:rPr>
        <w:t>AO</w:t>
      </w:r>
      <w:r w:rsidRPr="009C0995">
        <w:rPr>
          <w:b/>
          <w:color w:val="000000" w:themeColor="text1"/>
        </w:rPr>
        <w:t xml:space="preserve"> PROJETO DE LEI N° </w:t>
      </w:r>
      <w:r w:rsidRPr="009C0995" w:rsidR="009C0995">
        <w:rPr>
          <w:b/>
          <w:color w:val="000000" w:themeColor="text1"/>
        </w:rPr>
        <w:t>47</w:t>
      </w:r>
      <w:r w:rsidRPr="009C0995">
        <w:rPr>
          <w:b/>
          <w:color w:val="000000" w:themeColor="text1"/>
        </w:rPr>
        <w:t xml:space="preserve"> DE 2025 DE AUTORIA D</w:t>
      </w:r>
      <w:r w:rsidRPr="009C0995" w:rsidR="00E959B2">
        <w:rPr>
          <w:b/>
          <w:color w:val="000000" w:themeColor="text1"/>
        </w:rPr>
        <w:t>O VEREADOR</w:t>
      </w:r>
      <w:r w:rsidRPr="009C0995" w:rsidR="0011004C">
        <w:rPr>
          <w:b/>
          <w:color w:val="000000" w:themeColor="text1"/>
        </w:rPr>
        <w:t xml:space="preserve"> </w:t>
      </w:r>
      <w:r w:rsidRPr="009C0995" w:rsidR="009C0995">
        <w:rPr>
          <w:b/>
          <w:color w:val="000000" w:themeColor="text1"/>
        </w:rPr>
        <w:t>ERNANI LUIZ DONATTI GRAGNANELLO</w:t>
      </w:r>
      <w:r w:rsidRPr="009C0995">
        <w:rPr>
          <w:b/>
          <w:color w:val="000000" w:themeColor="text1"/>
        </w:rPr>
        <w:t>.</w:t>
      </w:r>
    </w:p>
    <w:p w:rsidR="00CB631F" w:rsidRPr="009C0995" w:rsidP="009C0995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9C0995" w:rsidP="009C0995" w14:paraId="07973BF2" w14:textId="74875065">
      <w:pPr>
        <w:pStyle w:val="NormalWeb"/>
        <w:spacing w:line="360" w:lineRule="auto"/>
        <w:jc w:val="both"/>
      </w:pPr>
      <w:r w:rsidRPr="009C0995">
        <w:rPr>
          <w:color w:val="000000" w:themeColor="text1"/>
        </w:rPr>
        <w:tab/>
      </w:r>
      <w:r w:rsidRPr="009C0995">
        <w:t>Seguindo o Voto exarado pelo Relator, nos termos dos artigos 35 da Resolução nº 276, de 09 de novembro de 2010</w:t>
      </w:r>
      <w:r w:rsidRPr="009C0995" w:rsidR="00184194">
        <w:t xml:space="preserve">, A Comissão Permanente de Justiça e Redação formaliza o presente </w:t>
      </w:r>
      <w:r w:rsidRPr="009C0995" w:rsidR="00184194">
        <w:rPr>
          <w:b/>
        </w:rPr>
        <w:t>PARECER FAVORÁVEL</w:t>
      </w:r>
      <w:r w:rsidRPr="009C0995" w:rsidR="00184194">
        <w:t xml:space="preserve"> ao Su</w:t>
      </w:r>
      <w:r w:rsidRPr="009C0995" w:rsidR="0011004C">
        <w:t xml:space="preserve">bstitutivo ao Projeto de Lei nº </w:t>
      </w:r>
      <w:r w:rsidRPr="009C0995" w:rsidR="009C0995">
        <w:t>47</w:t>
      </w:r>
      <w:r w:rsidRPr="009C0995" w:rsidR="00184194">
        <w:t xml:space="preserve"> de 2025</w:t>
      </w:r>
      <w:r w:rsidRPr="009C0995">
        <w:t>.</w:t>
      </w:r>
    </w:p>
    <w:p w:rsidR="00CB631F" w:rsidRPr="009C0995" w:rsidP="009C0995" w14:paraId="4FE36989" w14:textId="263F974C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9C0995">
        <w:rPr>
          <w:sz w:val="24"/>
          <w:szCs w:val="24"/>
        </w:rPr>
        <w:t>Sala das Comissões, em 23</w:t>
      </w:r>
      <w:r w:rsidRPr="009C0995">
        <w:rPr>
          <w:sz w:val="24"/>
          <w:szCs w:val="24"/>
        </w:rPr>
        <w:t xml:space="preserve"> de </w:t>
      </w:r>
      <w:r w:rsidRPr="009C0995">
        <w:rPr>
          <w:sz w:val="24"/>
          <w:szCs w:val="24"/>
        </w:rPr>
        <w:t>setembro</w:t>
      </w:r>
      <w:r w:rsidRPr="009C0995" w:rsidR="005C14CE">
        <w:rPr>
          <w:sz w:val="24"/>
          <w:szCs w:val="24"/>
        </w:rPr>
        <w:t xml:space="preserve"> </w:t>
      </w:r>
      <w:r w:rsidRPr="009C0995">
        <w:rPr>
          <w:sz w:val="24"/>
          <w:szCs w:val="24"/>
        </w:rPr>
        <w:t>de 2025.</w:t>
      </w:r>
    </w:p>
    <w:p w:rsidR="00CB631F" w:rsidRPr="009C0995" w:rsidP="009C0995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9C0995" w:rsidP="009C0995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C0995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9C0995" w:rsidP="009C0995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C0995" w:rsidP="009C0995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C0995" w:rsidP="009C0995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C0995" w:rsidP="009C0995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C0995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9C0995" w:rsidP="009C0995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C0995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9C0995" w:rsidP="009C0995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C0995" w:rsidP="009C0995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C0995" w:rsidP="009C0995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C0995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9C0995" w:rsidP="009C0995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C0995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9C0995" w:rsidP="009C0995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C0995" w:rsidP="009C0995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84194" w:rsidRPr="009C0995" w:rsidP="009C0995" w14:paraId="7F67FA27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C0995" w:rsidP="009C0995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C0995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9C0995" w:rsidP="009C0995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C0995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9C0995" w:rsidP="009C0995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5270ED"/>
    <w:multiLevelType w:val="multilevel"/>
    <w:tmpl w:val="79CC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40E9B"/>
    <w:multiLevelType w:val="multilevel"/>
    <w:tmpl w:val="E53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A6BE7"/>
    <w:multiLevelType w:val="hybridMultilevel"/>
    <w:tmpl w:val="EC8C7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53CE4"/>
    <w:multiLevelType w:val="hybridMultilevel"/>
    <w:tmpl w:val="6C16E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B1298"/>
    <w:multiLevelType w:val="hybridMultilevel"/>
    <w:tmpl w:val="F586D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16177"/>
    <w:multiLevelType w:val="multilevel"/>
    <w:tmpl w:val="79CC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9"/>
  </w:num>
  <w:num w:numId="5">
    <w:abstractNumId w:val="19"/>
  </w:num>
  <w:num w:numId="6">
    <w:abstractNumId w:val="20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0"/>
  </w:num>
  <w:num w:numId="14">
    <w:abstractNumId w:val="4"/>
  </w:num>
  <w:num w:numId="15">
    <w:abstractNumId w:val="13"/>
  </w:num>
  <w:num w:numId="16">
    <w:abstractNumId w:val="3"/>
  </w:num>
  <w:num w:numId="17">
    <w:abstractNumId w:val="2"/>
  </w:num>
  <w:num w:numId="18">
    <w:abstractNumId w:val="18"/>
  </w:num>
  <w:num w:numId="19">
    <w:abstractNumId w:val="17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18CA"/>
    <w:rsid w:val="00037531"/>
    <w:rsid w:val="00041A2D"/>
    <w:rsid w:val="00070FE7"/>
    <w:rsid w:val="00071EF2"/>
    <w:rsid w:val="0008150E"/>
    <w:rsid w:val="00096F36"/>
    <w:rsid w:val="000A1BE0"/>
    <w:rsid w:val="000D2C50"/>
    <w:rsid w:val="000F4933"/>
    <w:rsid w:val="0011004C"/>
    <w:rsid w:val="00126AE5"/>
    <w:rsid w:val="0015590E"/>
    <w:rsid w:val="00181506"/>
    <w:rsid w:val="00184194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3CA0"/>
    <w:rsid w:val="003A5737"/>
    <w:rsid w:val="003A796B"/>
    <w:rsid w:val="003B1A59"/>
    <w:rsid w:val="003D6D21"/>
    <w:rsid w:val="003E3F2C"/>
    <w:rsid w:val="003F0B47"/>
    <w:rsid w:val="00405098"/>
    <w:rsid w:val="00411661"/>
    <w:rsid w:val="004132A5"/>
    <w:rsid w:val="00431D6B"/>
    <w:rsid w:val="00440F57"/>
    <w:rsid w:val="00441727"/>
    <w:rsid w:val="00446FA1"/>
    <w:rsid w:val="00450755"/>
    <w:rsid w:val="00456770"/>
    <w:rsid w:val="00477C67"/>
    <w:rsid w:val="004B6FDF"/>
    <w:rsid w:val="004D46DA"/>
    <w:rsid w:val="004E3A21"/>
    <w:rsid w:val="004E6092"/>
    <w:rsid w:val="0050357A"/>
    <w:rsid w:val="00517CEC"/>
    <w:rsid w:val="005242B1"/>
    <w:rsid w:val="005559D9"/>
    <w:rsid w:val="0057515A"/>
    <w:rsid w:val="00590458"/>
    <w:rsid w:val="005A235E"/>
    <w:rsid w:val="005B766F"/>
    <w:rsid w:val="005C14CE"/>
    <w:rsid w:val="005E491E"/>
    <w:rsid w:val="005F1C38"/>
    <w:rsid w:val="005F2654"/>
    <w:rsid w:val="005F4E55"/>
    <w:rsid w:val="005F54DA"/>
    <w:rsid w:val="0060437A"/>
    <w:rsid w:val="00613747"/>
    <w:rsid w:val="006606C0"/>
    <w:rsid w:val="006834FE"/>
    <w:rsid w:val="00697874"/>
    <w:rsid w:val="006A54A9"/>
    <w:rsid w:val="006C3667"/>
    <w:rsid w:val="006D3DCC"/>
    <w:rsid w:val="006F3969"/>
    <w:rsid w:val="007038AD"/>
    <w:rsid w:val="007556D8"/>
    <w:rsid w:val="0078178E"/>
    <w:rsid w:val="00784CD4"/>
    <w:rsid w:val="00785E1B"/>
    <w:rsid w:val="007A08D1"/>
    <w:rsid w:val="007F6796"/>
    <w:rsid w:val="008151FE"/>
    <w:rsid w:val="008301A6"/>
    <w:rsid w:val="00842408"/>
    <w:rsid w:val="00855DD2"/>
    <w:rsid w:val="00864928"/>
    <w:rsid w:val="00881E60"/>
    <w:rsid w:val="008905C2"/>
    <w:rsid w:val="008A1839"/>
    <w:rsid w:val="008A537A"/>
    <w:rsid w:val="008C08C5"/>
    <w:rsid w:val="008C43E9"/>
    <w:rsid w:val="008C4AA2"/>
    <w:rsid w:val="0090178E"/>
    <w:rsid w:val="00902EE1"/>
    <w:rsid w:val="00904ADF"/>
    <w:rsid w:val="00910962"/>
    <w:rsid w:val="00914ADC"/>
    <w:rsid w:val="00920A3F"/>
    <w:rsid w:val="00925E1A"/>
    <w:rsid w:val="0095508D"/>
    <w:rsid w:val="009637A5"/>
    <w:rsid w:val="009B2889"/>
    <w:rsid w:val="009C0995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00B0F"/>
    <w:rsid w:val="00B1430A"/>
    <w:rsid w:val="00B57090"/>
    <w:rsid w:val="00B571F3"/>
    <w:rsid w:val="00B66D31"/>
    <w:rsid w:val="00B76A2A"/>
    <w:rsid w:val="00B9125A"/>
    <w:rsid w:val="00BA48C7"/>
    <w:rsid w:val="00BA6C13"/>
    <w:rsid w:val="00BB55D0"/>
    <w:rsid w:val="00BE41D6"/>
    <w:rsid w:val="00BF2A6F"/>
    <w:rsid w:val="00C00781"/>
    <w:rsid w:val="00C03449"/>
    <w:rsid w:val="00C10154"/>
    <w:rsid w:val="00C74E3F"/>
    <w:rsid w:val="00C75973"/>
    <w:rsid w:val="00C854A3"/>
    <w:rsid w:val="00CA4349"/>
    <w:rsid w:val="00CA4BBA"/>
    <w:rsid w:val="00CB631F"/>
    <w:rsid w:val="00CB7851"/>
    <w:rsid w:val="00CC094F"/>
    <w:rsid w:val="00CC3E72"/>
    <w:rsid w:val="00CF288D"/>
    <w:rsid w:val="00CF374B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DF7987"/>
    <w:rsid w:val="00E11ECC"/>
    <w:rsid w:val="00E3543A"/>
    <w:rsid w:val="00E45995"/>
    <w:rsid w:val="00E57668"/>
    <w:rsid w:val="00E73852"/>
    <w:rsid w:val="00E7438B"/>
    <w:rsid w:val="00E90F57"/>
    <w:rsid w:val="00E959B2"/>
    <w:rsid w:val="00EA0447"/>
    <w:rsid w:val="00EA375D"/>
    <w:rsid w:val="00EB1570"/>
    <w:rsid w:val="00EB3C9A"/>
    <w:rsid w:val="00EB4D4C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44DF3"/>
    <w:rsid w:val="00F55E24"/>
    <w:rsid w:val="00F633DE"/>
    <w:rsid w:val="00F733EC"/>
    <w:rsid w:val="00F74441"/>
    <w:rsid w:val="00F83282"/>
    <w:rsid w:val="00F91A1F"/>
    <w:rsid w:val="00F921DB"/>
    <w:rsid w:val="00FB2327"/>
    <w:rsid w:val="00FC1854"/>
    <w:rsid w:val="00FC2194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3A4DB6-3930-4C21-AD15-44F35339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2025-09-23T19:50:00Z</dcterms:created>
  <dcterms:modified xsi:type="dcterms:W3CDTF">2025-09-23T19:50:00Z</dcterms:modified>
</cp:coreProperties>
</file>