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E80928" w:rsidP="00331AD2" w14:paraId="0705C20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E80928" w:rsidRPr="00E80928" w:rsidP="00E80928" w14:paraId="359AAEC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E80928" w:rsidP="00E80928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E80928">
        <w:rPr>
          <w:b/>
          <w:color w:val="000000" w:themeColor="text1"/>
          <w:sz w:val="24"/>
          <w:szCs w:val="24"/>
        </w:rPr>
        <w:t>RELATÓRIO</w:t>
      </w:r>
    </w:p>
    <w:p w:rsidR="00A155B7" w:rsidRPr="00215245" w:rsidP="00215245" w14:paraId="052508B3" w14:textId="1C5BB023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215245">
        <w:rPr>
          <w:rStyle w:val="Strong"/>
          <w:color w:val="000000" w:themeColor="text1"/>
        </w:rPr>
        <w:t>PRO</w:t>
      </w:r>
      <w:r w:rsidRPr="00215245" w:rsidR="00BA6C13">
        <w:rPr>
          <w:rStyle w:val="Strong"/>
          <w:color w:val="000000" w:themeColor="text1"/>
        </w:rPr>
        <w:t xml:space="preserve">JETO DE </w:t>
      </w:r>
      <w:r w:rsidRPr="00215245" w:rsidR="00FB2327">
        <w:rPr>
          <w:rStyle w:val="Strong"/>
          <w:color w:val="000000" w:themeColor="text1"/>
        </w:rPr>
        <w:t>LEI</w:t>
      </w:r>
      <w:r w:rsidRPr="00215245" w:rsidR="0024723F">
        <w:rPr>
          <w:rStyle w:val="Strong"/>
          <w:color w:val="000000" w:themeColor="text1"/>
        </w:rPr>
        <w:t xml:space="preserve"> Nº 128</w:t>
      </w:r>
      <w:r w:rsidRPr="00215245" w:rsidR="00F74441">
        <w:rPr>
          <w:rStyle w:val="Strong"/>
          <w:color w:val="000000" w:themeColor="text1"/>
        </w:rPr>
        <w:t xml:space="preserve"> DE 2025</w:t>
      </w:r>
    </w:p>
    <w:p w:rsidR="00F74441" w:rsidRPr="00215245" w:rsidP="00215245" w14:paraId="4DE9CBF8" w14:textId="2898AC9C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215245">
        <w:rPr>
          <w:rStyle w:val="Emphasis"/>
          <w:color w:val="000000" w:themeColor="text1"/>
        </w:rPr>
        <w:t>“</w:t>
      </w:r>
      <w:r w:rsidRPr="00215245" w:rsidR="0024723F">
        <w:rPr>
          <w:rStyle w:val="Emphasis"/>
          <w:color w:val="000000" w:themeColor="text1"/>
        </w:rPr>
        <w:t>DISPÕE SOBRE A GARANTIA DE MATRÍCULA DE ESTUDANTES COM TRANSTORNO DO ESPECTRO AUTISTA – TEA, EM ESCOLAS DA REDE MUNICIPAL DE ENSINO PRÓXIMAS À RESIDÊNCIA OU AO LOCAL DE TRABALHO DOS RESPONSÁVEIS LEGAIS NO</w:t>
      </w:r>
      <w:r w:rsidRPr="00215245" w:rsidR="000131BA">
        <w:rPr>
          <w:rStyle w:val="Emphasis"/>
          <w:color w:val="000000" w:themeColor="text1"/>
        </w:rPr>
        <w:t xml:space="preserve"> MUNICÍPIO DE MOGI MIRIM, E DÁ OUTRAS PROVIDÊNCIAS</w:t>
      </w:r>
      <w:r w:rsidRPr="00215245" w:rsidR="004501C2">
        <w:rPr>
          <w:rStyle w:val="Emphasis"/>
          <w:color w:val="000000" w:themeColor="text1"/>
        </w:rPr>
        <w:t>. ”</w:t>
      </w:r>
    </w:p>
    <w:p w:rsidR="00F74441" w:rsidRPr="00215245" w:rsidP="00215245" w14:paraId="255CBB13" w14:textId="2FEE033F">
      <w:pPr>
        <w:pStyle w:val="NormalWeb"/>
        <w:spacing w:line="360" w:lineRule="auto"/>
        <w:jc w:val="both"/>
        <w:rPr>
          <w:color w:val="000000" w:themeColor="text1"/>
        </w:rPr>
      </w:pPr>
      <w:r w:rsidRPr="00215245">
        <w:rPr>
          <w:rStyle w:val="Strong"/>
          <w:color w:val="000000" w:themeColor="text1"/>
        </w:rPr>
        <w:t xml:space="preserve">RELATOR: VEREADOR </w:t>
      </w:r>
      <w:r w:rsidRPr="00215245" w:rsidR="006F3969">
        <w:rPr>
          <w:rStyle w:val="Strong"/>
          <w:color w:val="000000" w:themeColor="text1"/>
        </w:rPr>
        <w:t>MANOEL EDUARDO PEREIRA DA CRUZ PALOMINO</w:t>
      </w: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RPr="00215245" w:rsidP="00215245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215245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24723F" w:rsidRPr="00215245" w:rsidP="00215245" w14:paraId="6125924D" w14:textId="77777777">
      <w:pPr>
        <w:pStyle w:val="NormalWeb"/>
        <w:spacing w:line="360" w:lineRule="auto"/>
        <w:jc w:val="both"/>
      </w:pPr>
      <w:r w:rsidRPr="00215245">
        <w:t xml:space="preserve">O </w:t>
      </w:r>
      <w:r w:rsidRPr="00215245" w:rsidR="00EA3CD8">
        <w:rPr>
          <w:b/>
        </w:rPr>
        <w:t xml:space="preserve">Projeto de Lei nº </w:t>
      </w:r>
      <w:r w:rsidRPr="00215245">
        <w:rPr>
          <w:b/>
        </w:rPr>
        <w:t>128</w:t>
      </w:r>
      <w:r w:rsidRPr="00215245" w:rsidR="00EA3CD8">
        <w:rPr>
          <w:b/>
        </w:rPr>
        <w:t>/2025</w:t>
      </w:r>
      <w:r w:rsidRPr="00215245" w:rsidR="004E3A21">
        <w:rPr>
          <w:b/>
        </w:rPr>
        <w:t>,</w:t>
      </w:r>
      <w:r w:rsidRPr="00215245" w:rsidR="004E3A21">
        <w:t xml:space="preserve"> de autoria d</w:t>
      </w:r>
      <w:r w:rsidRPr="00215245" w:rsidR="00EA3CD8">
        <w:t>o</w:t>
      </w:r>
      <w:r w:rsidRPr="00215245" w:rsidR="004E3A21">
        <w:t xml:space="preserve"> </w:t>
      </w:r>
      <w:r w:rsidRPr="00215245">
        <w:t>Vereador Ademir Souza Floretti Junior</w:t>
      </w:r>
      <w:r w:rsidRPr="00215245" w:rsidR="000131BA">
        <w:t xml:space="preserve">, </w:t>
      </w:r>
      <w:r w:rsidRPr="00215245">
        <w:t>assegura ao estudante com Transtorno do Espectro Autista (TEA) a matrícula em unidade escolar da rede pública municipal situada nas imediações de sua residência ou do local de trabalho dos responsáveis legais, a critério da família.</w:t>
      </w:r>
    </w:p>
    <w:p w:rsidR="0024723F" w:rsidRPr="00215245" w:rsidP="00215245" w14:paraId="796A778D" w14:textId="77777777">
      <w:pPr>
        <w:pStyle w:val="NormalWeb"/>
        <w:spacing w:line="360" w:lineRule="auto"/>
        <w:jc w:val="both"/>
      </w:pPr>
      <w:r w:rsidRPr="00215245">
        <w:t xml:space="preserve">O </w:t>
      </w:r>
      <w:r w:rsidRPr="00215245">
        <w:rPr>
          <w:b/>
        </w:rPr>
        <w:t xml:space="preserve">art. 1º </w:t>
      </w:r>
      <w:r w:rsidRPr="00215245">
        <w:t>disciplina a garantia da matrícula, estabelecendo parâmetros objetivos de proximidade e documentação comprobatória. O §3º prevê prioridade em lista de espera ou remanejamento em caso de inexistência de vagas.</w:t>
      </w:r>
    </w:p>
    <w:p w:rsidR="0024723F" w:rsidRPr="00215245" w:rsidP="00215245" w14:paraId="0479456D" w14:textId="77777777">
      <w:pPr>
        <w:pStyle w:val="NormalWeb"/>
        <w:spacing w:line="360" w:lineRule="auto"/>
        <w:jc w:val="both"/>
      </w:pPr>
      <w:r w:rsidRPr="00215245">
        <w:t xml:space="preserve">O </w:t>
      </w:r>
      <w:r w:rsidRPr="00215245">
        <w:rPr>
          <w:b/>
        </w:rPr>
        <w:t>art. 2º</w:t>
      </w:r>
      <w:r w:rsidRPr="00215245">
        <w:t xml:space="preserve"> faculta ao Poder Executivo estabelecer diretrizes para capacitação de pessoal, adequação de ambiente escolar e disponibilização de apoio pedagógico especializado.</w:t>
      </w:r>
    </w:p>
    <w:p w:rsidR="0024723F" w:rsidRPr="00215245" w:rsidP="00215245" w14:paraId="3B691AF9" w14:textId="77777777">
      <w:pPr>
        <w:pStyle w:val="NormalWeb"/>
        <w:spacing w:line="360" w:lineRule="auto"/>
        <w:jc w:val="both"/>
      </w:pPr>
      <w:r w:rsidRPr="00215245">
        <w:t xml:space="preserve">O </w:t>
      </w:r>
      <w:r w:rsidRPr="00215245">
        <w:rPr>
          <w:b/>
        </w:rPr>
        <w:t>art. 3º</w:t>
      </w:r>
      <w:r w:rsidRPr="00215245">
        <w:t xml:space="preserve"> autoriza o Executivo a regulamentar a Lei por ato próprio.</w:t>
      </w:r>
    </w:p>
    <w:p w:rsidR="0024723F" w:rsidRPr="00215245" w:rsidP="00215245" w14:paraId="4A3C9B06" w14:textId="77777777">
      <w:pPr>
        <w:pStyle w:val="NormalWeb"/>
        <w:spacing w:line="360" w:lineRule="auto"/>
        <w:jc w:val="both"/>
      </w:pPr>
      <w:r w:rsidRPr="00215245">
        <w:t xml:space="preserve">Por fim, o </w:t>
      </w:r>
      <w:r w:rsidRPr="00215245">
        <w:rPr>
          <w:b/>
        </w:rPr>
        <w:t>art. 4º</w:t>
      </w:r>
      <w:r w:rsidRPr="00215245">
        <w:t xml:space="preserve"> fixa a entrada em vigor na data da publicação.</w:t>
      </w:r>
    </w:p>
    <w:p w:rsidR="0024723F" w:rsidP="00215245" w14:paraId="1214037C" w14:textId="77777777">
      <w:pPr>
        <w:pStyle w:val="NormalWeb"/>
        <w:spacing w:line="360" w:lineRule="auto"/>
        <w:jc w:val="both"/>
      </w:pPr>
      <w:r w:rsidRPr="00215245">
        <w:t>A justificativa enfatiza os princípios da dignidade da pessoa humana, igualdade e inclusão social, citando o Estatuto da Pessoa com Deficiência (Lei nº 13.146/2015) e a Lei nº 12.764/2012, que institui a Política Nacional de Proteção dos Direitos da Pessoa com TEA.</w:t>
      </w:r>
    </w:p>
    <w:p w:rsidR="006B1F4D" w:rsidRPr="00215245" w:rsidP="00215245" w14:paraId="54DABD88" w14:textId="77777777">
      <w:pPr>
        <w:pStyle w:val="NormalWeb"/>
        <w:spacing w:line="360" w:lineRule="auto"/>
        <w:jc w:val="both"/>
      </w:pPr>
    </w:p>
    <w:p w:rsidR="00F74441" w:rsidP="00215245" w14:paraId="380FED2D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215245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6B1F4D" w:rsidRPr="006B1F4D" w:rsidP="006B1F4D" w14:paraId="66A5E644" w14:textId="77777777"/>
    <w:p w:rsidR="001D0C97" w:rsidP="00215245" w14:paraId="589A426F" w14:textId="050419C4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15245">
        <w:rPr>
          <w:rFonts w:ascii="Times New Roman" w:hAnsi="Times New Roman" w:cs="Times New Roman"/>
          <w:b/>
          <w:bCs/>
          <w:sz w:val="24"/>
          <w:szCs w:val="24"/>
        </w:rPr>
        <w:t>Legalidade e Constitucionalidade</w:t>
      </w:r>
    </w:p>
    <w:p w:rsidR="006B1F4D" w:rsidRPr="00215245" w:rsidP="006B1F4D" w14:paraId="057FB312" w14:textId="77777777">
      <w:pPr>
        <w:pStyle w:val="ListParagraph"/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24723F" w:rsidRPr="00215245" w:rsidP="00215245" w14:paraId="217EB448" w14:textId="77777777">
      <w:pPr>
        <w:spacing w:before="100" w:beforeAutospacing="1" w:after="100" w:afterAutospacing="1" w:line="360" w:lineRule="auto"/>
        <w:jc w:val="both"/>
        <w:outlineLvl w:val="2"/>
        <w:rPr>
          <w:bCs/>
          <w:sz w:val="24"/>
          <w:szCs w:val="24"/>
        </w:rPr>
      </w:pPr>
      <w:r w:rsidRPr="00215245">
        <w:rPr>
          <w:bCs/>
          <w:sz w:val="24"/>
          <w:szCs w:val="24"/>
        </w:rPr>
        <w:t>A proposição encontra amparo no art. 30, II, da Constituição Federal, que autoriza os Municípios a legislar suplementarmente sobre educação, inclusive com vistas a atender especificidades locais.</w:t>
      </w:r>
    </w:p>
    <w:p w:rsidR="0024723F" w:rsidRPr="00215245" w:rsidP="00215245" w14:paraId="24D65868" w14:textId="60D81989">
      <w:pPr>
        <w:spacing w:before="100" w:beforeAutospacing="1" w:after="100" w:afterAutospacing="1" w:line="360" w:lineRule="auto"/>
        <w:jc w:val="both"/>
        <w:outlineLvl w:val="2"/>
        <w:rPr>
          <w:bCs/>
          <w:sz w:val="24"/>
          <w:szCs w:val="24"/>
        </w:rPr>
      </w:pPr>
      <w:r w:rsidRPr="00215245">
        <w:rPr>
          <w:bCs/>
          <w:sz w:val="24"/>
          <w:szCs w:val="24"/>
        </w:rPr>
        <w:t>O Estatuto da Criança e do Adolescente (art. 53, V) já assegura vaga em escola pública próxima à residência. O diferencial do presente projeto é admitir, no caso de estudantes com TEA, a opção pela escola próxima ao local de trabalho dos responsáveis legais, medida que reforça a proteção e inclusão da criança atípica, sem ferir normas constitucionais ou legais</w:t>
      </w:r>
      <w:r w:rsidRPr="00215245">
        <w:rPr>
          <w:bCs/>
          <w:sz w:val="24"/>
          <w:szCs w:val="24"/>
        </w:rPr>
        <w:t>.</w:t>
      </w:r>
    </w:p>
    <w:p w:rsidR="0024723F" w:rsidRPr="00215245" w:rsidP="00215245" w14:paraId="5051FEB8" w14:textId="4FF4CECC">
      <w:pPr>
        <w:pStyle w:val="NormalWeb"/>
        <w:spacing w:line="360" w:lineRule="auto"/>
        <w:jc w:val="both"/>
      </w:pPr>
      <w:r>
        <w:t xml:space="preserve">A consultoria jurídica </w:t>
      </w:r>
      <w:r w:rsidRPr="00215245">
        <w:t>(SGP) entendeu não haver vício de iniciativa nem de constitucionalidade material, por se tratar de competência legislativa concorrente e suplementar do Município.</w:t>
      </w:r>
    </w:p>
    <w:p w:rsidR="0024723F" w:rsidP="00215245" w14:paraId="74A5BE12" w14:textId="77777777">
      <w:pPr>
        <w:pStyle w:val="NormalWeb"/>
        <w:spacing w:line="360" w:lineRule="auto"/>
        <w:jc w:val="both"/>
      </w:pPr>
      <w:r w:rsidRPr="00215245">
        <w:t xml:space="preserve">Contudo, foram apontadas </w:t>
      </w:r>
      <w:r w:rsidRPr="00215245">
        <w:rPr>
          <w:rStyle w:val="Strong"/>
        </w:rPr>
        <w:t>ressalvas nos arts. 2º e 3º</w:t>
      </w:r>
      <w:r w:rsidRPr="00215245">
        <w:t>:</w:t>
      </w:r>
    </w:p>
    <w:p w:rsidR="0024723F" w:rsidRPr="00215245" w:rsidP="00215245" w14:paraId="1579A197" w14:textId="77777777">
      <w:pPr>
        <w:pStyle w:val="NormalWeb"/>
        <w:numPr>
          <w:ilvl w:val="0"/>
          <w:numId w:val="32"/>
        </w:numPr>
        <w:spacing w:line="360" w:lineRule="auto"/>
        <w:jc w:val="both"/>
      </w:pPr>
      <w:r w:rsidRPr="00215245">
        <w:rPr>
          <w:rStyle w:val="Strong"/>
        </w:rPr>
        <w:t>Art. 2º</w:t>
      </w:r>
      <w:r w:rsidRPr="00215245">
        <w:t>: ainda que redigido como faculdade, menciona a possibilidade de o Executivo estabelecer diretrizes e capacitações, matéria que já integra a gestão administrativa exclusiva do Prefeito (Lei Orgânica, arts. 220 e 221).</w:t>
      </w:r>
    </w:p>
    <w:p w:rsidR="0024723F" w:rsidP="00215245" w14:paraId="7638EACE" w14:textId="77777777">
      <w:pPr>
        <w:pStyle w:val="NormalWeb"/>
        <w:numPr>
          <w:ilvl w:val="0"/>
          <w:numId w:val="32"/>
        </w:numPr>
        <w:spacing w:line="360" w:lineRule="auto"/>
        <w:jc w:val="both"/>
      </w:pPr>
      <w:r w:rsidRPr="00215245">
        <w:rPr>
          <w:rStyle w:val="Strong"/>
        </w:rPr>
        <w:t>Art. 3º</w:t>
      </w:r>
      <w:r w:rsidRPr="00215245">
        <w:t>: a inserção de cláusula regulamentar em proposição parlamentar é desnecessária, pois o poder regulamentar é inerente ao Executivo (CF, art. 84, II), não dependendo de autorização legislativa</w:t>
      </w:r>
    </w:p>
    <w:p w:rsidR="0024723F" w:rsidP="00215245" w14:paraId="5D58969A" w14:textId="4B8975E3">
      <w:pPr>
        <w:spacing w:before="100" w:beforeAutospacing="1" w:after="100" w:afterAutospacing="1" w:line="360" w:lineRule="auto"/>
        <w:jc w:val="both"/>
        <w:outlineLvl w:val="2"/>
        <w:rPr>
          <w:sz w:val="24"/>
          <w:szCs w:val="24"/>
        </w:rPr>
      </w:pPr>
      <w:r w:rsidRPr="00215245">
        <w:rPr>
          <w:sz w:val="24"/>
          <w:szCs w:val="24"/>
        </w:rPr>
        <w:t>Portanto, os dispositivos podem ser considerados inconstitucionais por configurarem ingerência na esfera administrativa do Executivo.</w:t>
      </w:r>
    </w:p>
    <w:p w:rsidR="006B1F4D" w:rsidP="00215245" w14:paraId="0F057064" w14:textId="77777777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4"/>
          <w:szCs w:val="24"/>
        </w:rPr>
      </w:pPr>
    </w:p>
    <w:p w:rsidR="006B1F4D" w:rsidP="00215245" w14:paraId="3F64C6A5" w14:textId="77777777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4"/>
          <w:szCs w:val="24"/>
        </w:rPr>
      </w:pPr>
    </w:p>
    <w:p w:rsidR="006B1F4D" w:rsidP="00215245" w14:paraId="18257472" w14:textId="77777777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4"/>
          <w:szCs w:val="24"/>
        </w:rPr>
      </w:pPr>
    </w:p>
    <w:p w:rsidR="006B1F4D" w:rsidRPr="00215245" w:rsidP="00215245" w14:paraId="6FF0FE58" w14:textId="77777777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4"/>
          <w:szCs w:val="24"/>
        </w:rPr>
      </w:pPr>
    </w:p>
    <w:p w:rsidR="00F74441" w:rsidRPr="00215245" w:rsidP="00215245" w14:paraId="0F32780D" w14:textId="76EF177F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215245">
        <w:rPr>
          <w:rStyle w:val="Strong"/>
          <w:bCs w:val="0"/>
          <w:color w:val="000000" w:themeColor="text1"/>
          <w:sz w:val="24"/>
          <w:szCs w:val="24"/>
        </w:rPr>
        <w:t>b) Conveniência e Oportunidade</w:t>
      </w:r>
    </w:p>
    <w:p w:rsidR="0024723F" w:rsidRPr="00215245" w:rsidP="00215245" w14:paraId="7ACC229D" w14:textId="77777777">
      <w:pPr>
        <w:pStyle w:val="NormalWeb"/>
        <w:spacing w:line="360" w:lineRule="auto"/>
        <w:jc w:val="both"/>
      </w:pPr>
      <w:r w:rsidRPr="00215245">
        <w:rPr>
          <w:color w:val="000000" w:themeColor="text1"/>
        </w:rPr>
        <w:tab/>
      </w:r>
      <w:r w:rsidRPr="00215245">
        <w:t>Do ponto de vista social e educacional, a medida é conveniente e oportuna. Reduz deslocamentos, favorece a integração familiar e escolar e assegura inclusão efetiva dos estudantes com TEA, reforçando o compromisso municipal com políticas públicas inclusivas.</w:t>
      </w:r>
    </w:p>
    <w:p w:rsidR="0024723F" w:rsidP="00215245" w14:paraId="0458EDC1" w14:textId="77777777">
      <w:pPr>
        <w:pStyle w:val="NormalWeb"/>
        <w:spacing w:line="360" w:lineRule="auto"/>
        <w:jc w:val="both"/>
      </w:pPr>
      <w:r w:rsidRPr="00215245">
        <w:t>A retirada ou adequação dos arts. 2º e 3º não compromete o mérito da proposta, que permanece íntegro em sua essência no art. 1º.</w:t>
      </w:r>
    </w:p>
    <w:p w:rsidR="006B1F4D" w:rsidRPr="00215245" w:rsidP="00215245" w14:paraId="0B5A7A5F" w14:textId="77777777">
      <w:pPr>
        <w:pStyle w:val="NormalWeb"/>
        <w:spacing w:line="360" w:lineRule="auto"/>
        <w:jc w:val="both"/>
      </w:pPr>
    </w:p>
    <w:p w:rsidR="00F74441" w:rsidRPr="00215245" w:rsidP="00215245" w14:paraId="68542A3A" w14:textId="13F0ECA4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  <w:r w:rsidRPr="00215245">
        <w:rPr>
          <w:rStyle w:val="Strong"/>
          <w:bCs w:val="0"/>
          <w:color w:val="000000" w:themeColor="text1"/>
        </w:rPr>
        <w:t>III - OFERECIMENTO DE SUBSTITUTIVO, EMENDAS OU SUBEMENDAS</w:t>
      </w:r>
    </w:p>
    <w:p w:rsidR="0024723F" w:rsidRPr="00215245" w:rsidP="00215245" w14:paraId="53EA25DF" w14:textId="77777777">
      <w:pPr>
        <w:pStyle w:val="NormalWeb"/>
        <w:spacing w:line="360" w:lineRule="auto"/>
        <w:jc w:val="both"/>
      </w:pPr>
      <w:r w:rsidRPr="00215245">
        <w:rPr>
          <w:color w:val="000000" w:themeColor="text1"/>
        </w:rPr>
        <w:tab/>
      </w:r>
      <w:r w:rsidRPr="00215245">
        <w:t>Verificadas as ressalvas apontadas, entende-se necessária a apresentação de emendas ao Projeto de Lei nº 128/2025, a fim de sanar os vícios identificados e garantir a plena constitucionalidade da matéria.</w:t>
      </w:r>
    </w:p>
    <w:p w:rsidR="0024723F" w:rsidP="00215245" w14:paraId="58BBB673" w14:textId="77777777">
      <w:pPr>
        <w:pStyle w:val="NormalWeb"/>
        <w:spacing w:line="360" w:lineRule="auto"/>
        <w:jc w:val="both"/>
      </w:pPr>
      <w:r w:rsidRPr="00215245">
        <w:t xml:space="preserve">As emendas supressivas e aditivas pertinentes serão apresentadas </w:t>
      </w:r>
      <w:r w:rsidRPr="00215245">
        <w:rPr>
          <w:rStyle w:val="Strong"/>
        </w:rPr>
        <w:t>em documento anexo a este parecer, subscrito pelo relator</w:t>
      </w:r>
      <w:r w:rsidRPr="00215245">
        <w:t>, nos termos regimentais.</w:t>
      </w:r>
    </w:p>
    <w:p w:rsidR="006B1F4D" w:rsidP="00215245" w14:paraId="2915407E" w14:textId="77777777">
      <w:pPr>
        <w:pStyle w:val="NormalWeb"/>
        <w:spacing w:line="360" w:lineRule="auto"/>
        <w:jc w:val="both"/>
      </w:pPr>
    </w:p>
    <w:p w:rsidR="00F74441" w:rsidRPr="00215245" w:rsidP="00215245" w14:paraId="0089363A" w14:textId="739FC8E0">
      <w:pPr>
        <w:pStyle w:val="NormalWeb"/>
        <w:spacing w:line="360" w:lineRule="auto"/>
        <w:ind w:left="-142"/>
        <w:jc w:val="both"/>
        <w:rPr>
          <w:rStyle w:val="Strong"/>
          <w:bCs w:val="0"/>
          <w:color w:val="000000" w:themeColor="text1"/>
        </w:rPr>
      </w:pPr>
      <w:r w:rsidRPr="00215245">
        <w:rPr>
          <w:rStyle w:val="Strong"/>
          <w:bCs w:val="0"/>
          <w:color w:val="000000" w:themeColor="text1"/>
        </w:rPr>
        <w:t>IV - DECISÃO DA RELATORIA</w:t>
      </w:r>
    </w:p>
    <w:p w:rsidR="0024723F" w:rsidRPr="00215245" w:rsidP="00215245" w14:paraId="50AD9667" w14:textId="77777777">
      <w:pPr>
        <w:pStyle w:val="NormalWeb"/>
        <w:spacing w:line="360" w:lineRule="auto"/>
        <w:jc w:val="both"/>
      </w:pPr>
      <w:r w:rsidRPr="00215245">
        <w:rPr>
          <w:color w:val="000000" w:themeColor="text1"/>
        </w:rPr>
        <w:tab/>
      </w:r>
      <w:r w:rsidRPr="00215245" w:rsidR="00E73852">
        <w:t xml:space="preserve"> </w:t>
      </w:r>
      <w:r w:rsidRPr="00215245">
        <w:t xml:space="preserve">Diante do exposto, esta Relatoria conclui que o </w:t>
      </w:r>
      <w:r w:rsidRPr="00215245">
        <w:rPr>
          <w:rStyle w:val="Strong"/>
        </w:rPr>
        <w:t>Projeto de Lei nº 128/2025</w:t>
      </w:r>
      <w:r w:rsidRPr="00215245">
        <w:t xml:space="preserve"> é constitucional, legal e relevante em seu mérito, representando medida inclusiva e socialmente necessária para assegurar o direito fundamental à educação dos estudantes com Transtorno do Espectro Autista.</w:t>
      </w:r>
    </w:p>
    <w:p w:rsidR="0024723F" w:rsidP="00215245" w14:paraId="2E6FD964" w14:textId="77777777">
      <w:pPr>
        <w:pStyle w:val="NormalWeb"/>
        <w:spacing w:line="360" w:lineRule="auto"/>
        <w:jc w:val="both"/>
      </w:pPr>
      <w:r w:rsidRPr="00215245">
        <w:t xml:space="preserve">Entretanto, para afastar vícios de constitucionalidade e de técnica legislativa, impõe-se a adoção de ajustes pontuais. Assim, </w:t>
      </w:r>
      <w:r w:rsidRPr="00215245">
        <w:rPr>
          <w:rStyle w:val="Strong"/>
        </w:rPr>
        <w:t>a aprovação da matéria deve ocorrer de forma condicionada à aprovação das emendas supressivas e aditiva apresentadas em anexo</w:t>
      </w:r>
      <w:r w:rsidRPr="00215245">
        <w:t>, as quais corrigem os dispositivos em conflito com a competência privativa do Executivo e reforçam a harmonia do texto com a legislação federal aplicável.</w:t>
      </w:r>
    </w:p>
    <w:p w:rsidR="006B1F4D" w:rsidP="00215245" w14:paraId="2F57DB2B" w14:textId="77777777">
      <w:pPr>
        <w:pStyle w:val="NormalWeb"/>
        <w:spacing w:line="360" w:lineRule="auto"/>
        <w:jc w:val="both"/>
      </w:pPr>
    </w:p>
    <w:p w:rsidR="006B1F4D" w:rsidRPr="00215245" w:rsidP="00215245" w14:paraId="587FDFB4" w14:textId="77777777">
      <w:pPr>
        <w:pStyle w:val="NormalWeb"/>
        <w:spacing w:line="360" w:lineRule="auto"/>
        <w:jc w:val="both"/>
      </w:pPr>
    </w:p>
    <w:p w:rsidR="0024723F" w:rsidRPr="00215245" w:rsidP="00215245" w14:paraId="13F3A15B" w14:textId="77777777">
      <w:pPr>
        <w:pStyle w:val="NormalWeb"/>
        <w:spacing w:line="360" w:lineRule="auto"/>
        <w:jc w:val="both"/>
      </w:pPr>
      <w:r w:rsidRPr="00215245">
        <w:t xml:space="preserve">Desta forma, voto pela </w:t>
      </w:r>
      <w:r w:rsidRPr="00215245">
        <w:rPr>
          <w:rStyle w:val="Strong"/>
        </w:rPr>
        <w:t xml:space="preserve">aprovação do Projeto de Lei nº 128/2025, com as emendas corretivas </w:t>
      </w:r>
      <w:r w:rsidRPr="00215245">
        <w:rPr>
          <w:rStyle w:val="Strong"/>
        </w:rPr>
        <w:t>propostas</w:t>
      </w:r>
      <w:r w:rsidRPr="00215245">
        <w:rPr>
          <w:rStyle w:val="Strong"/>
        </w:rPr>
        <w:t xml:space="preserve"> pelo relator, em documento anexo a este parecer</w:t>
      </w:r>
      <w:r w:rsidRPr="00215245">
        <w:t>, assegurando a segurança jurídica, a constitucionalidade e a efetividade da norma.</w:t>
      </w:r>
    </w:p>
    <w:p w:rsidR="00343F03" w:rsidRPr="00215245" w:rsidP="00215245" w14:paraId="5D665660" w14:textId="36AE1D7A">
      <w:pPr>
        <w:spacing w:line="360" w:lineRule="auto"/>
        <w:jc w:val="both"/>
        <w:rPr>
          <w:sz w:val="24"/>
          <w:szCs w:val="24"/>
        </w:rPr>
      </w:pPr>
    </w:p>
    <w:p w:rsidR="00F74441" w:rsidP="00215245" w14:paraId="6AB168D8" w14:textId="24A84958">
      <w:pPr>
        <w:spacing w:line="360" w:lineRule="auto"/>
        <w:jc w:val="both"/>
        <w:rPr>
          <w:rStyle w:val="Strong"/>
          <w:color w:val="000000" w:themeColor="text1"/>
          <w:sz w:val="24"/>
          <w:szCs w:val="24"/>
        </w:rPr>
      </w:pPr>
      <w:r w:rsidRPr="00215245">
        <w:rPr>
          <w:rStyle w:val="Strong"/>
          <w:color w:val="000000" w:themeColor="text1"/>
          <w:sz w:val="24"/>
          <w:szCs w:val="24"/>
        </w:rPr>
        <w:t>SALA DAS SESSÕES</w:t>
      </w:r>
      <w:r w:rsidRPr="00215245" w:rsidR="00215245">
        <w:rPr>
          <w:rStyle w:val="Strong"/>
          <w:color w:val="000000" w:themeColor="text1"/>
          <w:sz w:val="24"/>
          <w:szCs w:val="24"/>
        </w:rPr>
        <w:t xml:space="preserve"> “VEREADOR SANTO RÓTTOLI”, em 25</w:t>
      </w:r>
      <w:r w:rsidRPr="00215245">
        <w:rPr>
          <w:rStyle w:val="Strong"/>
          <w:color w:val="000000" w:themeColor="text1"/>
          <w:sz w:val="24"/>
          <w:szCs w:val="24"/>
        </w:rPr>
        <w:t xml:space="preserve"> de </w:t>
      </w:r>
      <w:r w:rsidRPr="00215245" w:rsidR="005D038D">
        <w:rPr>
          <w:rStyle w:val="Strong"/>
          <w:color w:val="000000" w:themeColor="text1"/>
          <w:sz w:val="24"/>
          <w:szCs w:val="24"/>
        </w:rPr>
        <w:t>setembro</w:t>
      </w:r>
      <w:r w:rsidRPr="00215245">
        <w:rPr>
          <w:rStyle w:val="Strong"/>
          <w:color w:val="000000" w:themeColor="text1"/>
          <w:sz w:val="24"/>
          <w:szCs w:val="24"/>
        </w:rPr>
        <w:t xml:space="preserve"> de 2025.</w:t>
      </w:r>
    </w:p>
    <w:p w:rsidR="006B1F4D" w:rsidP="00215245" w14:paraId="3CB5E97D" w14:textId="77777777">
      <w:pPr>
        <w:spacing w:line="360" w:lineRule="auto"/>
        <w:jc w:val="both"/>
        <w:rPr>
          <w:rStyle w:val="Strong"/>
          <w:color w:val="000000" w:themeColor="text1"/>
          <w:sz w:val="24"/>
          <w:szCs w:val="24"/>
        </w:rPr>
      </w:pPr>
    </w:p>
    <w:p w:rsidR="006B1F4D" w:rsidRPr="00215245" w:rsidP="00215245" w14:paraId="29CB25DF" w14:textId="77777777">
      <w:pPr>
        <w:spacing w:line="360" w:lineRule="auto"/>
        <w:jc w:val="both"/>
        <w:rPr>
          <w:rStyle w:val="Strong"/>
          <w:color w:val="000000" w:themeColor="text1"/>
          <w:sz w:val="24"/>
          <w:szCs w:val="24"/>
        </w:rPr>
      </w:pPr>
    </w:p>
    <w:p w:rsidR="00F74441" w:rsidRPr="00215245" w:rsidP="00215245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215245">
        <w:rPr>
          <w:bCs/>
          <w:i/>
          <w:color w:val="000000" w:themeColor="text1"/>
          <w:sz w:val="24"/>
          <w:szCs w:val="24"/>
        </w:rPr>
        <w:t>(</w:t>
      </w:r>
      <w:r w:rsidRPr="00215245">
        <w:rPr>
          <w:bCs/>
          <w:i/>
          <w:color w:val="000000" w:themeColor="text1"/>
          <w:sz w:val="24"/>
          <w:szCs w:val="24"/>
        </w:rPr>
        <w:t>assinado</w:t>
      </w:r>
      <w:r w:rsidRPr="00215245">
        <w:rPr>
          <w:bCs/>
          <w:i/>
          <w:color w:val="000000" w:themeColor="text1"/>
          <w:sz w:val="24"/>
          <w:szCs w:val="24"/>
        </w:rPr>
        <w:t xml:space="preserve"> digitalmente)</w:t>
      </w:r>
    </w:p>
    <w:p w:rsidR="00F74441" w:rsidRPr="00215245" w:rsidP="00215245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215245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215245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215245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215245" w:rsidP="00215245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215245">
        <w:rPr>
          <w:color w:val="000000" w:themeColor="text1"/>
          <w:sz w:val="24"/>
          <w:szCs w:val="24"/>
        </w:rPr>
        <w:t>Relator</w:t>
      </w:r>
    </w:p>
    <w:p w:rsidR="00CB631F" w:rsidP="00215245" w14:paraId="4027A079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6B1F4D" w:rsidRPr="00215245" w:rsidP="00215245" w14:paraId="71789E19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215245" w:rsidP="00215245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6B1F4D" w:rsidP="006B1F4D" w14:paraId="010DA84F" w14:textId="77777777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6B1F4D">
        <w:rPr>
          <w:rStyle w:val="Strong"/>
          <w:b/>
          <w:bCs w:val="0"/>
          <w:color w:val="000000" w:themeColor="text1"/>
          <w:sz w:val="24"/>
          <w:szCs w:val="24"/>
        </w:rPr>
        <w:t>REFERÊNCIAS:</w:t>
      </w:r>
    </w:p>
    <w:p w:rsidR="00215245" w:rsidRPr="006B1F4D" w:rsidP="006B1F4D" w14:paraId="3F8B40BA" w14:textId="652E371D">
      <w:pPr>
        <w:pStyle w:val="NormalWeb"/>
        <w:numPr>
          <w:ilvl w:val="0"/>
          <w:numId w:val="34"/>
        </w:numPr>
        <w:spacing w:line="360" w:lineRule="auto"/>
        <w:jc w:val="both"/>
      </w:pPr>
      <w:r w:rsidRPr="006B1F4D">
        <w:t xml:space="preserve">Constituição Federal: </w:t>
      </w:r>
      <w:r w:rsidRPr="006B1F4D">
        <w:t>arts</w:t>
      </w:r>
      <w:r w:rsidRPr="006B1F4D">
        <w:t>. 23, V; 30, II; 205; 208; 211; 212.</w:t>
      </w:r>
    </w:p>
    <w:p w:rsidR="00215245" w:rsidRPr="006B1F4D" w:rsidP="006B1F4D" w14:paraId="5C3EEFE4" w14:textId="48F5C3DE">
      <w:pPr>
        <w:pStyle w:val="NormalWeb"/>
        <w:numPr>
          <w:ilvl w:val="0"/>
          <w:numId w:val="34"/>
        </w:numPr>
        <w:spacing w:line="360" w:lineRule="auto"/>
        <w:jc w:val="both"/>
      </w:pPr>
      <w:r w:rsidRPr="006B1F4D">
        <w:t>Lei de Diretrizes e Bases da Educação Nacional (Lei nº 9.394/1996).</w:t>
      </w:r>
    </w:p>
    <w:p w:rsidR="00215245" w:rsidRPr="006B1F4D" w:rsidP="006B1F4D" w14:paraId="7585F33D" w14:textId="2720C476">
      <w:pPr>
        <w:pStyle w:val="NormalWeb"/>
        <w:numPr>
          <w:ilvl w:val="0"/>
          <w:numId w:val="34"/>
        </w:numPr>
        <w:spacing w:line="360" w:lineRule="auto"/>
        <w:jc w:val="both"/>
      </w:pPr>
      <w:r w:rsidRPr="006B1F4D">
        <w:t>Estatuto da Criança e do Adolescente (Lei nº 8.069/1990, art. 53, V).</w:t>
      </w:r>
    </w:p>
    <w:p w:rsidR="00215245" w:rsidRPr="006B1F4D" w:rsidP="006B1F4D" w14:paraId="2ED15D34" w14:textId="292AD371">
      <w:pPr>
        <w:pStyle w:val="NormalWeb"/>
        <w:numPr>
          <w:ilvl w:val="0"/>
          <w:numId w:val="34"/>
        </w:numPr>
        <w:spacing w:line="360" w:lineRule="auto"/>
        <w:jc w:val="both"/>
      </w:pPr>
      <w:r w:rsidRPr="006B1F4D">
        <w:t>Estatuto da Pessoa com Deficiência (Lei nº 13.146/2015).</w:t>
      </w:r>
    </w:p>
    <w:p w:rsidR="00215245" w:rsidRPr="006B1F4D" w:rsidP="006B1F4D" w14:paraId="30F1590D" w14:textId="4D212740">
      <w:pPr>
        <w:pStyle w:val="NormalWeb"/>
        <w:numPr>
          <w:ilvl w:val="0"/>
          <w:numId w:val="34"/>
        </w:numPr>
        <w:spacing w:line="360" w:lineRule="auto"/>
        <w:jc w:val="both"/>
      </w:pPr>
      <w:r w:rsidRPr="006B1F4D">
        <w:t>Lei nº 12.764/2012 (Política Nacional de Proteção dos Direitos da Pessoa com TEA).</w:t>
      </w:r>
    </w:p>
    <w:p w:rsidR="00215245" w:rsidRPr="006B1F4D" w:rsidP="006B1F4D" w14:paraId="35F2144D" w14:textId="7ED5BC72">
      <w:pPr>
        <w:pStyle w:val="NormalWeb"/>
        <w:numPr>
          <w:ilvl w:val="0"/>
          <w:numId w:val="34"/>
        </w:numPr>
        <w:spacing w:line="360" w:lineRule="auto"/>
        <w:ind w:hanging="357"/>
        <w:jc w:val="both"/>
      </w:pPr>
      <w:r w:rsidRPr="006B1F4D">
        <w:t>Lei Orgânica do Município de Mogi Mirim, arts. 220 e 221.</w:t>
      </w:r>
    </w:p>
    <w:p w:rsidR="00215245" w:rsidRPr="006B1F4D" w:rsidP="006B1F4D" w14:paraId="230199E1" w14:textId="39954516">
      <w:pPr>
        <w:pStyle w:val="NormalWeb"/>
        <w:numPr>
          <w:ilvl w:val="0"/>
          <w:numId w:val="33"/>
        </w:numPr>
        <w:spacing w:line="360" w:lineRule="auto"/>
        <w:ind w:hanging="357"/>
        <w:jc w:val="both"/>
      </w:pPr>
      <w:r w:rsidRPr="006B1F4D">
        <w:t>Parecer da Consultoria Jurídica Externa – SGP (Consulta nº 0543/2025/MN/G/DDR)</w:t>
      </w:r>
    </w:p>
    <w:p w:rsidR="00331AD2" w:rsidRPr="006B1F4D" w:rsidP="006B1F4D" w14:paraId="46FBC224" w14:textId="46D4F7F1">
      <w:pPr>
        <w:pStyle w:val="NormalWeb"/>
        <w:numPr>
          <w:ilvl w:val="0"/>
          <w:numId w:val="33"/>
        </w:numPr>
        <w:spacing w:before="0" w:beforeAutospacing="0" w:line="360" w:lineRule="auto"/>
        <w:ind w:left="709"/>
        <w:jc w:val="both"/>
        <w:rPr>
          <w:color w:val="000000" w:themeColor="text1"/>
        </w:rPr>
      </w:pPr>
      <w:r w:rsidRPr="006B1F4D">
        <w:t xml:space="preserve">Doutrina: HELY LOPES MEIRELLES, </w:t>
      </w:r>
      <w:r w:rsidRPr="006B1F4D">
        <w:rPr>
          <w:rStyle w:val="Emphasis"/>
        </w:rPr>
        <w:t>Direito Municipal Brasileiro</w:t>
      </w:r>
      <w:r w:rsidRPr="006B1F4D">
        <w:t>, 17ª ed., Malheiros, 2014.</w:t>
      </w:r>
    </w:p>
    <w:p w:rsidR="004501C2" w:rsidRPr="006B1F4D" w:rsidP="006B1F4D" w14:paraId="083FB1A1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6B1F4D" w:rsidP="006B1F4D" w14:paraId="1A7469C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E50A4C" w:rsidRPr="00215245" w:rsidP="00215245" w14:paraId="37452EA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  <w:bookmarkStart w:id="0" w:name="_GoBack"/>
      <w:bookmarkEnd w:id="0"/>
    </w:p>
    <w:p w:rsidR="00E80928" w:rsidRPr="00215245" w:rsidP="00215245" w14:paraId="0A2F3EA4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215245" w:rsidP="00215245" w14:paraId="106B8342" w14:textId="2D3315CB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215245">
        <w:rPr>
          <w:b/>
          <w:color w:val="000000" w:themeColor="text1"/>
        </w:rPr>
        <w:t xml:space="preserve">PARECER FAVORÁVEL DA COMISSÃO DE JUSTIÇA E REDAÇÃO AO PROJETO DE LEI N° </w:t>
      </w:r>
      <w:r w:rsidRPr="00215245" w:rsidR="004501C2">
        <w:rPr>
          <w:b/>
          <w:color w:val="000000" w:themeColor="text1"/>
        </w:rPr>
        <w:t>1</w:t>
      </w:r>
      <w:r w:rsidRPr="00215245" w:rsidR="00E50A4C">
        <w:rPr>
          <w:b/>
          <w:color w:val="000000" w:themeColor="text1"/>
        </w:rPr>
        <w:t>2</w:t>
      </w:r>
      <w:r w:rsidRPr="00215245" w:rsidR="00215245">
        <w:rPr>
          <w:b/>
          <w:color w:val="000000" w:themeColor="text1"/>
        </w:rPr>
        <w:t>8</w:t>
      </w:r>
      <w:r w:rsidRPr="00215245">
        <w:rPr>
          <w:b/>
          <w:color w:val="000000" w:themeColor="text1"/>
        </w:rPr>
        <w:t xml:space="preserve"> DE 2025 DE AUTORIA D</w:t>
      </w:r>
      <w:r w:rsidRPr="00215245" w:rsidR="00331AD2">
        <w:rPr>
          <w:b/>
          <w:color w:val="000000" w:themeColor="text1"/>
        </w:rPr>
        <w:t>O</w:t>
      </w:r>
      <w:r w:rsidRPr="00215245" w:rsidR="00215245">
        <w:rPr>
          <w:b/>
          <w:color w:val="000000" w:themeColor="text1"/>
        </w:rPr>
        <w:t xml:space="preserve"> VEREADOR ADEMIR SOUZA FLORETTI JUNIOR</w:t>
      </w:r>
      <w:r w:rsidRPr="00215245">
        <w:rPr>
          <w:b/>
          <w:color w:val="000000" w:themeColor="text1"/>
        </w:rPr>
        <w:t>.</w:t>
      </w:r>
    </w:p>
    <w:p w:rsidR="00CB631F" w:rsidRPr="00215245" w:rsidP="00215245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215245" w:rsidP="00215245" w14:paraId="07973BF2" w14:textId="44797CE1">
      <w:pPr>
        <w:pStyle w:val="NormalWeb"/>
        <w:spacing w:line="360" w:lineRule="auto"/>
        <w:jc w:val="both"/>
      </w:pPr>
      <w:r w:rsidRPr="00215245">
        <w:rPr>
          <w:color w:val="000000" w:themeColor="text1"/>
        </w:rPr>
        <w:tab/>
      </w:r>
      <w:r w:rsidRPr="00215245" w:rsidR="00B30455">
        <w:rPr>
          <w:color w:val="000000" w:themeColor="text1"/>
        </w:rPr>
        <w:t>N</w:t>
      </w:r>
      <w:r w:rsidRPr="00215245" w:rsidR="005D038D">
        <w:t>os termos do</w:t>
      </w:r>
      <w:r w:rsidRPr="00215245">
        <w:t xml:space="preserve"> artigo 35 da Resolução nº 276, de 09 de novembro de 2010, e </w:t>
      </w:r>
      <w:r w:rsidRPr="00215245" w:rsidR="00B30455">
        <w:t xml:space="preserve">acompanhando o voto do Relator, </w:t>
      </w:r>
      <w:r w:rsidRPr="00215245">
        <w:rPr>
          <w:bCs/>
        </w:rPr>
        <w:t>manifestam-se pela legalidade, constitucionalidade, e mérito d</w:t>
      </w:r>
      <w:r w:rsidRPr="00215245" w:rsidR="00B30455">
        <w:rPr>
          <w:bCs/>
        </w:rPr>
        <w:t xml:space="preserve">o </w:t>
      </w:r>
      <w:r w:rsidRPr="00215245" w:rsidR="00E80928">
        <w:rPr>
          <w:b/>
          <w:bCs/>
        </w:rPr>
        <w:t>Projeto de Lei nº 12</w:t>
      </w:r>
      <w:r w:rsidRPr="00215245" w:rsidR="00215245">
        <w:rPr>
          <w:b/>
          <w:bCs/>
        </w:rPr>
        <w:t>8</w:t>
      </w:r>
      <w:r w:rsidRPr="00215245" w:rsidR="00B30455">
        <w:rPr>
          <w:b/>
          <w:bCs/>
        </w:rPr>
        <w:t xml:space="preserve"> de 2025</w:t>
      </w:r>
      <w:r w:rsidRPr="00215245" w:rsidR="00B30455">
        <w:rPr>
          <w:bCs/>
        </w:rPr>
        <w:t xml:space="preserve">, recomendando-se sua </w:t>
      </w:r>
      <w:r w:rsidRPr="00215245">
        <w:rPr>
          <w:bCs/>
        </w:rPr>
        <w:t>aprovação</w:t>
      </w:r>
      <w:r w:rsidRPr="00215245" w:rsidR="00B30455">
        <w:rPr>
          <w:bCs/>
        </w:rPr>
        <w:t>.</w:t>
      </w:r>
    </w:p>
    <w:p w:rsidR="00CB631F" w:rsidRPr="00215245" w:rsidP="00215245" w14:paraId="4FE36989" w14:textId="6B853253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215245">
        <w:rPr>
          <w:sz w:val="24"/>
          <w:szCs w:val="24"/>
        </w:rPr>
        <w:t xml:space="preserve">Sala das </w:t>
      </w:r>
      <w:r w:rsidRPr="00215245" w:rsidR="00215245">
        <w:rPr>
          <w:sz w:val="24"/>
          <w:szCs w:val="24"/>
        </w:rPr>
        <w:t>Comissões, em 25</w:t>
      </w:r>
      <w:r w:rsidRPr="00215245">
        <w:rPr>
          <w:sz w:val="24"/>
          <w:szCs w:val="24"/>
        </w:rPr>
        <w:t xml:space="preserve"> de </w:t>
      </w:r>
      <w:r w:rsidRPr="00215245" w:rsidR="005D038D">
        <w:rPr>
          <w:sz w:val="24"/>
          <w:szCs w:val="24"/>
        </w:rPr>
        <w:t>setembro</w:t>
      </w:r>
      <w:r w:rsidRPr="00215245">
        <w:rPr>
          <w:sz w:val="24"/>
          <w:szCs w:val="24"/>
        </w:rPr>
        <w:t xml:space="preserve"> de 2025.</w:t>
      </w:r>
    </w:p>
    <w:p w:rsidR="00CB631F" w:rsidRPr="00215245" w:rsidP="00215245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215245" w:rsidP="00215245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215245" w:rsidP="00215245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15245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215245" w:rsidP="00215245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215245" w:rsidP="00215245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215245" w:rsidP="00215245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215245" w:rsidP="00215245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5245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215245" w:rsidP="00215245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5245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215245" w:rsidP="00215245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215245" w:rsidP="00215245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215245" w:rsidP="00215245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5245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215245" w:rsidP="00215245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5245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215245" w:rsidP="00215245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215245" w:rsidP="00215245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215245" w:rsidP="00215245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5245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215245" w:rsidP="00215245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15245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215245" w:rsidP="00215245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F3D6F"/>
    <w:multiLevelType w:val="multilevel"/>
    <w:tmpl w:val="FF4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D5703"/>
    <w:multiLevelType w:val="hybridMultilevel"/>
    <w:tmpl w:val="6C6867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A428C"/>
    <w:multiLevelType w:val="multilevel"/>
    <w:tmpl w:val="7176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3577B"/>
    <w:multiLevelType w:val="multilevel"/>
    <w:tmpl w:val="AA2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957AD4"/>
    <w:multiLevelType w:val="hybridMultilevel"/>
    <w:tmpl w:val="F97E12FE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A2843"/>
    <w:multiLevelType w:val="multilevel"/>
    <w:tmpl w:val="85A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B0882"/>
    <w:multiLevelType w:val="hybridMultilevel"/>
    <w:tmpl w:val="24424AF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F6CF8"/>
    <w:multiLevelType w:val="multilevel"/>
    <w:tmpl w:val="4A22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4B5BF3"/>
    <w:multiLevelType w:val="multilevel"/>
    <w:tmpl w:val="9648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438C3"/>
    <w:multiLevelType w:val="multilevel"/>
    <w:tmpl w:val="AD92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A87A5A"/>
    <w:multiLevelType w:val="multilevel"/>
    <w:tmpl w:val="3E1A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EC0F0F"/>
    <w:multiLevelType w:val="hybridMultilevel"/>
    <w:tmpl w:val="6B947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8F2CAC"/>
    <w:multiLevelType w:val="hybridMultilevel"/>
    <w:tmpl w:val="D154206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C3D62F6"/>
    <w:multiLevelType w:val="multilevel"/>
    <w:tmpl w:val="8A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076C7C"/>
    <w:multiLevelType w:val="multilevel"/>
    <w:tmpl w:val="21E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A52A09"/>
    <w:multiLevelType w:val="multilevel"/>
    <w:tmpl w:val="AAA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375FE6"/>
    <w:multiLevelType w:val="hybridMultilevel"/>
    <w:tmpl w:val="83586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8509C8"/>
    <w:multiLevelType w:val="hybridMultilevel"/>
    <w:tmpl w:val="E48C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F87321"/>
    <w:multiLevelType w:val="multilevel"/>
    <w:tmpl w:val="2B3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6"/>
  </w:num>
  <w:num w:numId="3">
    <w:abstractNumId w:val="5"/>
  </w:num>
  <w:num w:numId="4">
    <w:abstractNumId w:val="14"/>
  </w:num>
  <w:num w:numId="5">
    <w:abstractNumId w:val="29"/>
  </w:num>
  <w:num w:numId="6">
    <w:abstractNumId w:val="32"/>
  </w:num>
  <w:num w:numId="7">
    <w:abstractNumId w:val="8"/>
  </w:num>
  <w:num w:numId="8">
    <w:abstractNumId w:val="17"/>
  </w:num>
  <w:num w:numId="9">
    <w:abstractNumId w:val="13"/>
  </w:num>
  <w:num w:numId="10">
    <w:abstractNumId w:val="12"/>
  </w:num>
  <w:num w:numId="11">
    <w:abstractNumId w:val="11"/>
  </w:num>
  <w:num w:numId="12">
    <w:abstractNumId w:val="24"/>
  </w:num>
  <w:num w:numId="13">
    <w:abstractNumId w:val="1"/>
  </w:num>
  <w:num w:numId="14">
    <w:abstractNumId w:val="7"/>
  </w:num>
  <w:num w:numId="15">
    <w:abstractNumId w:val="21"/>
  </w:num>
  <w:num w:numId="16">
    <w:abstractNumId w:val="18"/>
  </w:num>
  <w:num w:numId="17">
    <w:abstractNumId w:val="0"/>
  </w:num>
  <w:num w:numId="18">
    <w:abstractNumId w:val="9"/>
  </w:num>
  <w:num w:numId="19">
    <w:abstractNumId w:val="15"/>
  </w:num>
  <w:num w:numId="20">
    <w:abstractNumId w:val="26"/>
  </w:num>
  <w:num w:numId="21">
    <w:abstractNumId w:val="22"/>
  </w:num>
  <w:num w:numId="22">
    <w:abstractNumId w:val="31"/>
  </w:num>
  <w:num w:numId="23">
    <w:abstractNumId w:val="4"/>
  </w:num>
  <w:num w:numId="24">
    <w:abstractNumId w:val="20"/>
  </w:num>
  <w:num w:numId="25">
    <w:abstractNumId w:val="28"/>
  </w:num>
  <w:num w:numId="26">
    <w:abstractNumId w:val="33"/>
  </w:num>
  <w:num w:numId="27">
    <w:abstractNumId w:val="10"/>
  </w:num>
  <w:num w:numId="28">
    <w:abstractNumId w:val="6"/>
  </w:num>
  <w:num w:numId="29">
    <w:abstractNumId w:val="2"/>
  </w:num>
  <w:num w:numId="30">
    <w:abstractNumId w:val="27"/>
  </w:num>
  <w:num w:numId="31">
    <w:abstractNumId w:val="3"/>
  </w:num>
  <w:num w:numId="32">
    <w:abstractNumId w:val="19"/>
  </w:num>
  <w:num w:numId="33">
    <w:abstractNumId w:val="3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31BA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D0C97"/>
    <w:rsid w:val="001F3DD4"/>
    <w:rsid w:val="0020165D"/>
    <w:rsid w:val="00213987"/>
    <w:rsid w:val="00215245"/>
    <w:rsid w:val="00224A76"/>
    <w:rsid w:val="00227E2C"/>
    <w:rsid w:val="00234376"/>
    <w:rsid w:val="0024723F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31AD2"/>
    <w:rsid w:val="00343F03"/>
    <w:rsid w:val="00371010"/>
    <w:rsid w:val="00371A69"/>
    <w:rsid w:val="0038129E"/>
    <w:rsid w:val="00381C00"/>
    <w:rsid w:val="00387530"/>
    <w:rsid w:val="003A5737"/>
    <w:rsid w:val="003A796B"/>
    <w:rsid w:val="003B1A59"/>
    <w:rsid w:val="003D6D21"/>
    <w:rsid w:val="003F0B47"/>
    <w:rsid w:val="0040419D"/>
    <w:rsid w:val="00405098"/>
    <w:rsid w:val="00411661"/>
    <w:rsid w:val="004132A5"/>
    <w:rsid w:val="00431D6B"/>
    <w:rsid w:val="00446FA1"/>
    <w:rsid w:val="004501C2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D038D"/>
    <w:rsid w:val="005E491E"/>
    <w:rsid w:val="005F2654"/>
    <w:rsid w:val="005F4E55"/>
    <w:rsid w:val="005F54DA"/>
    <w:rsid w:val="0060437A"/>
    <w:rsid w:val="00613747"/>
    <w:rsid w:val="00631FD1"/>
    <w:rsid w:val="00650AC3"/>
    <w:rsid w:val="006606C0"/>
    <w:rsid w:val="006834FE"/>
    <w:rsid w:val="00697874"/>
    <w:rsid w:val="006A54A9"/>
    <w:rsid w:val="006B1F4D"/>
    <w:rsid w:val="006D3DCC"/>
    <w:rsid w:val="006F3969"/>
    <w:rsid w:val="007038AD"/>
    <w:rsid w:val="00746F08"/>
    <w:rsid w:val="007556D8"/>
    <w:rsid w:val="0078178E"/>
    <w:rsid w:val="00784CD4"/>
    <w:rsid w:val="00785E1B"/>
    <w:rsid w:val="007A08D1"/>
    <w:rsid w:val="007F6796"/>
    <w:rsid w:val="00823B6F"/>
    <w:rsid w:val="008301A6"/>
    <w:rsid w:val="00842408"/>
    <w:rsid w:val="00855DD2"/>
    <w:rsid w:val="00864928"/>
    <w:rsid w:val="00867454"/>
    <w:rsid w:val="00881E60"/>
    <w:rsid w:val="008905C2"/>
    <w:rsid w:val="008A1839"/>
    <w:rsid w:val="008A537A"/>
    <w:rsid w:val="008C08C5"/>
    <w:rsid w:val="008C1B0C"/>
    <w:rsid w:val="008C43E9"/>
    <w:rsid w:val="008C4AA2"/>
    <w:rsid w:val="00902EE1"/>
    <w:rsid w:val="00904ADF"/>
    <w:rsid w:val="009064E3"/>
    <w:rsid w:val="00914ADC"/>
    <w:rsid w:val="00920A3F"/>
    <w:rsid w:val="00925E1A"/>
    <w:rsid w:val="0095508D"/>
    <w:rsid w:val="009D6B7C"/>
    <w:rsid w:val="009E2F80"/>
    <w:rsid w:val="009E4C09"/>
    <w:rsid w:val="00A00E3E"/>
    <w:rsid w:val="00A12DD9"/>
    <w:rsid w:val="00A155B7"/>
    <w:rsid w:val="00A164DC"/>
    <w:rsid w:val="00A27446"/>
    <w:rsid w:val="00A617F8"/>
    <w:rsid w:val="00A672C0"/>
    <w:rsid w:val="00A913CE"/>
    <w:rsid w:val="00AA0204"/>
    <w:rsid w:val="00AC3EEE"/>
    <w:rsid w:val="00AD2770"/>
    <w:rsid w:val="00AE5858"/>
    <w:rsid w:val="00AF0C05"/>
    <w:rsid w:val="00AF3296"/>
    <w:rsid w:val="00AF4AC7"/>
    <w:rsid w:val="00B00B0F"/>
    <w:rsid w:val="00B1430A"/>
    <w:rsid w:val="00B147B5"/>
    <w:rsid w:val="00B30455"/>
    <w:rsid w:val="00B57090"/>
    <w:rsid w:val="00B571F3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631F"/>
    <w:rsid w:val="00CC094F"/>
    <w:rsid w:val="00CC1320"/>
    <w:rsid w:val="00CC3E72"/>
    <w:rsid w:val="00CF288D"/>
    <w:rsid w:val="00D03E9F"/>
    <w:rsid w:val="00D06CA3"/>
    <w:rsid w:val="00D07452"/>
    <w:rsid w:val="00D233F3"/>
    <w:rsid w:val="00D33D19"/>
    <w:rsid w:val="00D52DAE"/>
    <w:rsid w:val="00D543E6"/>
    <w:rsid w:val="00D635A7"/>
    <w:rsid w:val="00D66197"/>
    <w:rsid w:val="00D70FD5"/>
    <w:rsid w:val="00D72B9D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14569"/>
    <w:rsid w:val="00E3543A"/>
    <w:rsid w:val="00E45995"/>
    <w:rsid w:val="00E50A4C"/>
    <w:rsid w:val="00E57668"/>
    <w:rsid w:val="00E73852"/>
    <w:rsid w:val="00E7438B"/>
    <w:rsid w:val="00E80928"/>
    <w:rsid w:val="00EA0447"/>
    <w:rsid w:val="00EA375D"/>
    <w:rsid w:val="00EA3CD8"/>
    <w:rsid w:val="00EB1570"/>
    <w:rsid w:val="00EB3C9A"/>
    <w:rsid w:val="00EB650B"/>
    <w:rsid w:val="00EC5677"/>
    <w:rsid w:val="00ED7D93"/>
    <w:rsid w:val="00EE457C"/>
    <w:rsid w:val="00EF4DE4"/>
    <w:rsid w:val="00EF630E"/>
    <w:rsid w:val="00F10F57"/>
    <w:rsid w:val="00F1771D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2327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2025-09-25T18:46:00Z</dcterms:created>
  <dcterms:modified xsi:type="dcterms:W3CDTF">2025-09-25T18:46:00Z</dcterms:modified>
</cp:coreProperties>
</file>