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 w14:paraId="30818BD0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 w14:paraId="74DD6C92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BF47AD">
        <w:rPr>
          <w:rFonts w:asciiTheme="majorHAnsi" w:hAnsiTheme="majorHAnsi" w:cstheme="majorHAnsi"/>
          <w:b/>
          <w:sz w:val="24"/>
          <w:szCs w:val="24"/>
        </w:rPr>
        <w:t>3</w:t>
      </w:r>
      <w:r w:rsidR="00515D2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 Nº 111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 w14:paraId="6D9B1E37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515D2F">
        <w:rPr>
          <w:rFonts w:asciiTheme="majorHAnsi" w:hAnsiTheme="majorHAnsi" w:cstheme="majorHAnsi"/>
          <w:b/>
          <w:color w:val="000000"/>
          <w:sz w:val="24"/>
          <w:szCs w:val="24"/>
        </w:rPr>
        <w:t>º 153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 w14:paraId="72E30383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 w14:paraId="0A0AA936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515D2F">
        <w:rPr>
          <w:rFonts w:asciiTheme="majorHAnsi" w:hAnsiTheme="majorHAnsi" w:cstheme="majorHAnsi"/>
          <w:sz w:val="24"/>
          <w:szCs w:val="24"/>
        </w:rPr>
        <w:t>de Lei nº 111</w:t>
      </w:r>
      <w:r w:rsidR="002B5A45">
        <w:rPr>
          <w:rFonts w:asciiTheme="majorHAnsi" w:hAnsiTheme="majorHAnsi" w:cstheme="majorHAnsi"/>
          <w:sz w:val="24"/>
          <w:szCs w:val="24"/>
        </w:rPr>
        <w:t>/2025, de autoria do Exmo</w:t>
      </w:r>
      <w:r w:rsidRPr="00D677F3">
        <w:rPr>
          <w:rFonts w:asciiTheme="majorHAnsi" w:hAnsiTheme="majorHAnsi" w:cstheme="majorHAnsi"/>
          <w:sz w:val="24"/>
          <w:szCs w:val="24"/>
        </w:rPr>
        <w:t xml:space="preserve">. </w:t>
      </w:r>
      <w:r w:rsidR="00515D2F">
        <w:rPr>
          <w:rFonts w:asciiTheme="majorHAnsi" w:hAnsiTheme="majorHAnsi" w:cstheme="majorHAnsi"/>
          <w:sz w:val="24"/>
          <w:szCs w:val="24"/>
        </w:rPr>
        <w:t>Senhor Prefeito Dr. Paulo de Oliveira e Silva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 w14:paraId="560A3064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 w14:paraId="5FEF59DF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 w14:paraId="7C57AF47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 w14:paraId="4AEC2CE1" w14:textId="77777777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966576" w:rsidP="00A52713" w14:paraId="618297C4" w14:textId="4DEB3E50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O Exmo</w:t>
      </w:r>
      <w:r w:rsidR="00515D2F">
        <w:rPr>
          <w:rFonts w:asciiTheme="majorHAnsi" w:hAnsiTheme="majorHAnsi" w:cstheme="majorHAnsi"/>
          <w:sz w:val="24"/>
          <w:szCs w:val="24"/>
        </w:rPr>
        <w:t>.</w:t>
      </w:r>
      <w:r w:rsidRPr="00D677F3" w:rsidR="00515D2F">
        <w:rPr>
          <w:rFonts w:asciiTheme="majorHAnsi" w:hAnsiTheme="majorHAnsi" w:cstheme="majorHAnsi"/>
          <w:sz w:val="24"/>
          <w:szCs w:val="24"/>
        </w:rPr>
        <w:t xml:space="preserve"> </w:t>
      </w:r>
      <w:r w:rsidR="00515D2F">
        <w:rPr>
          <w:rFonts w:asciiTheme="majorHAnsi" w:hAnsiTheme="majorHAnsi" w:cstheme="majorHAnsi"/>
          <w:sz w:val="24"/>
          <w:szCs w:val="24"/>
        </w:rPr>
        <w:t>Senhor Prefeito Dr. Paulo de Oliveira e Silva</w:t>
      </w:r>
      <w:r>
        <w:rPr>
          <w:rFonts w:asciiTheme="majorHAnsi" w:hAnsiTheme="majorHAnsi" w:cstheme="majorHAnsi"/>
          <w:sz w:val="24"/>
          <w:szCs w:val="24"/>
        </w:rPr>
        <w:t xml:space="preserve"> protocolou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 nesta Cas</w:t>
      </w:r>
      <w:r>
        <w:rPr>
          <w:rFonts w:asciiTheme="majorHAnsi" w:hAnsiTheme="majorHAnsi" w:cstheme="majorHAnsi"/>
          <w:sz w:val="24"/>
          <w:szCs w:val="24"/>
        </w:rPr>
        <w:t xml:space="preserve">a de Leis o </w:t>
      </w:r>
      <w:r w:rsidR="00966576">
        <w:rPr>
          <w:rFonts w:asciiTheme="majorHAnsi" w:hAnsiTheme="majorHAnsi" w:cstheme="majorHAnsi"/>
          <w:sz w:val="24"/>
          <w:szCs w:val="24"/>
        </w:rPr>
        <w:t xml:space="preserve">Projeto de Lei </w:t>
      </w:r>
      <w:r w:rsidR="00515D2F">
        <w:rPr>
          <w:rFonts w:asciiTheme="majorHAnsi" w:hAnsiTheme="majorHAnsi" w:cstheme="majorHAnsi"/>
          <w:sz w:val="24"/>
          <w:szCs w:val="24"/>
        </w:rPr>
        <w:t>nº 111</w:t>
      </w:r>
      <w:r>
        <w:rPr>
          <w:rFonts w:asciiTheme="majorHAnsi" w:hAnsiTheme="majorHAnsi" w:cstheme="majorHAnsi"/>
          <w:sz w:val="24"/>
          <w:szCs w:val="24"/>
        </w:rPr>
        <w:t>/2025, que</w:t>
      </w:r>
      <w:r w:rsidRPr="00A52713">
        <w:t xml:space="preserve"> </w:t>
      </w:r>
      <w:r w:rsidRPr="00966576" w:rsidR="00966576">
        <w:rPr>
          <w:rFonts w:asciiTheme="majorHAnsi" w:hAnsiTheme="majorHAnsi" w:cstheme="majorHAnsi"/>
          <w:b/>
          <w:i/>
          <w:sz w:val="24"/>
          <w:szCs w:val="24"/>
        </w:rPr>
        <w:t>“</w:t>
      </w:r>
      <w:r w:rsidRPr="00515D2F" w:rsidR="00515D2F">
        <w:rPr>
          <w:rFonts w:asciiTheme="majorHAnsi" w:hAnsiTheme="majorHAnsi" w:cstheme="majorHAnsi"/>
          <w:b/>
          <w:i/>
          <w:sz w:val="24"/>
          <w:szCs w:val="24"/>
        </w:rPr>
        <w:t>AUTORIZA O MUNICÍPIO DE MOGI MIRIM, ESTADO DE SÃO PAULO, A INTEGRAR O CONSÓRCIO INTERMUNICIPAL PAR</w:t>
      </w:r>
      <w:r w:rsidR="00515D2F">
        <w:rPr>
          <w:rFonts w:asciiTheme="majorHAnsi" w:hAnsiTheme="majorHAnsi" w:cstheme="majorHAnsi"/>
          <w:b/>
          <w:i/>
          <w:sz w:val="24"/>
          <w:szCs w:val="24"/>
        </w:rPr>
        <w:t xml:space="preserve">A O DESENVOLVIMENTO SUSTENTÁVEL </w:t>
      </w:r>
      <w:r w:rsidRPr="00515D2F" w:rsidR="00515D2F">
        <w:rPr>
          <w:rFonts w:asciiTheme="majorHAnsi" w:hAnsiTheme="majorHAnsi" w:cstheme="majorHAnsi"/>
          <w:b/>
          <w:i/>
          <w:sz w:val="24"/>
          <w:szCs w:val="24"/>
        </w:rPr>
        <w:t>(CONDESU), ADERINDO AO SEU CONTRATO DE CONSÓRCIO/ESTATUTO</w:t>
      </w:r>
      <w:r w:rsidR="001F7F66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515D2F" w:rsidR="00515D2F">
        <w:rPr>
          <w:rFonts w:asciiTheme="majorHAnsi" w:hAnsiTheme="majorHAnsi" w:cstheme="majorHAnsi"/>
          <w:b/>
          <w:i/>
          <w:sz w:val="24"/>
          <w:szCs w:val="24"/>
        </w:rPr>
        <w:t>SOCIAL</w:t>
      </w:r>
      <w:r w:rsidRPr="00966576" w:rsidR="00966576">
        <w:rPr>
          <w:rFonts w:asciiTheme="majorHAnsi" w:hAnsiTheme="majorHAnsi" w:cstheme="majorHAnsi"/>
          <w:b/>
          <w:i/>
          <w:sz w:val="24"/>
          <w:szCs w:val="24"/>
        </w:rPr>
        <w:t>”.</w:t>
      </w:r>
    </w:p>
    <w:p w:rsidR="00325F92" w:rsidRPr="00325F92" w:rsidP="00C637ED" w14:paraId="6A0526D9" w14:textId="77777777">
      <w:pPr>
        <w:pStyle w:val="NormalWeb"/>
        <w:jc w:val="both"/>
        <w:rPr>
          <w:rFonts w:asciiTheme="majorHAnsi" w:hAnsiTheme="majorHAnsi" w:cstheme="majorHAnsi"/>
        </w:rPr>
      </w:pPr>
      <w:r w:rsidRPr="00325F92">
        <w:rPr>
          <w:rFonts w:asciiTheme="majorHAnsi" w:hAnsiTheme="majorHAnsi" w:cstheme="majorHAnsi"/>
          <w:b/>
          <w:i/>
        </w:rPr>
        <w:t xml:space="preserve">            </w:t>
      </w:r>
      <w:r w:rsidRPr="00325F92">
        <w:rPr>
          <w:rFonts w:asciiTheme="majorHAnsi" w:hAnsiTheme="majorHAnsi" w:cstheme="majorHAnsi"/>
        </w:rPr>
        <w:t xml:space="preserve">A presente propositura tem por objetivo autorizar o Município de Mogi Mirim a integrar o Consórcio Intermunicipal para o Desenvolvimento Sustentável (CONDESU), aderindo ao respectivo contrato </w:t>
      </w:r>
      <w:r w:rsidR="00C637ED">
        <w:rPr>
          <w:rFonts w:asciiTheme="majorHAnsi" w:hAnsiTheme="majorHAnsi" w:cstheme="majorHAnsi"/>
        </w:rPr>
        <w:t>de consórcio e estatuto social.</w:t>
      </w:r>
    </w:p>
    <w:p w:rsidR="00325F92" w:rsidRPr="00325F92" w:rsidP="00C637ED" w14:paraId="62B03B35" w14:textId="77777777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 w:rsidRPr="00325F92">
        <w:rPr>
          <w:rFonts w:asciiTheme="majorHAnsi" w:hAnsiTheme="majorHAnsi" w:cstheme="majorHAnsi"/>
        </w:rPr>
        <w:t>O Projeto de Lei foi encaminhado por meio da Mensagem nº 038/2025, com a finalidade de solicitar a devida autorização legislativa para a adesão. Cabe destacar que a matéria foi tema de discussão na Reunião das Comissões realizada em 3 de setembro de 2025, ocasião em que as informações pertinentes foram apresentadas e os esclarecimentos necessários foram prestados aos vereadores e assessores.</w:t>
      </w:r>
    </w:p>
    <w:p w:rsidR="00325F92" w:rsidP="00C637ED" w14:paraId="1DDC3B12" w14:textId="77777777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 w:rsidRPr="00325F92">
        <w:rPr>
          <w:rFonts w:asciiTheme="majorHAnsi" w:hAnsiTheme="majorHAnsi" w:cstheme="majorHAnsi"/>
        </w:rPr>
        <w:t xml:space="preserve">A proposta visa à adesão ao CONDESU considerando que este consórcio oferece uma gama mais ampla de serviços em comparação àqueles já contratados pelo Município por meio da CEMIL. </w:t>
      </w:r>
    </w:p>
    <w:p w:rsidR="00325F92" w:rsidRPr="00F52EC1" w:rsidP="00EE3AF3" w14:paraId="481D424C" w14:textId="6D83548B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A2712E" w:rsidRPr="00D677F3" w:rsidP="00D677F3" w14:paraId="258530B5" w14:textId="7777777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 w14:paraId="01AA5418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Pr="00BF47AD" w:rsidR="00BF47AD">
        <w:rPr>
          <w:rFonts w:asciiTheme="majorHAnsi" w:hAnsiTheme="majorHAnsi" w:cstheme="majorHAnsi"/>
        </w:rPr>
        <w:t>destacamos que a pressente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>a comissão de Justiça e Redação e</w:t>
      </w:r>
      <w:r w:rsidRPr="00BF47AD" w:rsidR="00BF47AD">
        <w:rPr>
          <w:rFonts w:asciiTheme="majorHAnsi" w:hAnsiTheme="majorHAnsi" w:cstheme="majorHAnsi"/>
        </w:rPr>
        <w:t xml:space="preserve"> de </w:t>
      </w:r>
      <w:r w:rsidR="00CC0BEC">
        <w:rPr>
          <w:rFonts w:asciiTheme="majorHAnsi" w:hAnsiTheme="majorHAnsi" w:cstheme="majorHAnsi"/>
        </w:rPr>
        <w:t>Obras, Serviços Públicos e Atividades Privadas</w:t>
      </w:r>
      <w:r w:rsidR="00637C5F">
        <w:rPr>
          <w:rFonts w:asciiTheme="majorHAnsi" w:hAnsiTheme="majorHAnsi" w:cstheme="majorHAnsi"/>
        </w:rPr>
        <w:t xml:space="preserve">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983B49">
        <w:rPr>
          <w:rFonts w:asciiTheme="majorHAnsi" w:hAnsiTheme="majorHAnsi" w:cstheme="majorHAnsi"/>
        </w:rPr>
        <w:t>Pareceres F</w:t>
      </w:r>
      <w:r w:rsidRPr="00BF47AD" w:rsidR="00BF47AD">
        <w:rPr>
          <w:rFonts w:asciiTheme="majorHAnsi" w:hAnsiTheme="majorHAnsi" w:cstheme="majorHAnsi"/>
        </w:rPr>
        <w:t>avoráveis.</w:t>
      </w:r>
    </w:p>
    <w:p w:rsidR="00D677F3" w:rsidRPr="00D677F3" w:rsidP="00D677F3" w14:paraId="7E68C301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637C5F" w:rsidP="00027D0F" w14:paraId="140DF69A" w14:textId="77777777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projeto visa </w:t>
      </w:r>
      <w:r w:rsidR="00CC0BEC">
        <w:rPr>
          <w:rFonts w:asciiTheme="majorHAnsi" w:hAnsiTheme="majorHAnsi" w:cstheme="majorHAnsi"/>
        </w:rPr>
        <w:t>obter a autorização para integrar o Consórcio Intermunicipal para o Desenvolvimento Sustentável (CONDESU) no município de Mogi Mirim.</w:t>
      </w:r>
    </w:p>
    <w:p w:rsidR="00D31303" w:rsidP="00D029F4" w14:paraId="76BA2CE9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584829" w:rsidP="00584829" w14:paraId="5F59E4F9" w14:textId="7777777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</w:p>
    <w:p w:rsidR="00EE3AF3" w:rsidP="00C637ED" w14:paraId="624F4C42" w14:textId="77777777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</w:t>
      </w:r>
    </w:p>
    <w:p w:rsidR="00EE3AF3" w:rsidP="00C637ED" w14:paraId="45848E70" w14:textId="77777777">
      <w:pPr>
        <w:pStyle w:val="NormalWeb"/>
        <w:jc w:val="both"/>
        <w:rPr>
          <w:rFonts w:asciiTheme="majorHAnsi" w:hAnsiTheme="majorHAnsi" w:cstheme="majorHAnsi"/>
        </w:rPr>
      </w:pPr>
    </w:p>
    <w:p w:rsidR="00EE3AF3" w:rsidP="00EE3AF3" w14:paraId="09593755" w14:textId="348D357F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EE3AF3">
        <w:rPr>
          <w:rFonts w:asciiTheme="majorHAnsi" w:hAnsiTheme="majorHAnsi" w:cstheme="majorHAnsi"/>
        </w:rPr>
        <w:t xml:space="preserve">O </w:t>
      </w:r>
      <w:r>
        <w:rPr>
          <w:rFonts w:asciiTheme="majorHAnsi" w:hAnsiTheme="majorHAnsi" w:cstheme="majorHAnsi"/>
        </w:rPr>
        <w:t>CONDESU</w:t>
      </w:r>
      <w:r w:rsidRPr="00EE3AF3">
        <w:rPr>
          <w:rFonts w:asciiTheme="majorHAnsi" w:hAnsiTheme="majorHAnsi" w:cstheme="majorHAnsi"/>
        </w:rPr>
        <w:t xml:space="preserve"> é uma associação entre Municípios com o objetivo de promover o desenvolvimento sustentável em suas áreas de atuação, buscando soluções conjuntas para problemas comuns e otimizando recursos. Ele atua como um mecanismo de cooperação, permitindo a execução de projetos e a oferta de serviços de forma mais eficiente e integrada</w:t>
      </w:r>
      <w:r>
        <w:rPr>
          <w:rFonts w:asciiTheme="majorHAnsi" w:hAnsiTheme="majorHAnsi" w:cstheme="majorHAnsi"/>
        </w:rPr>
        <w:t>. Atualmente o consórcio conta com os seguintes municípios consorciados:</w:t>
      </w:r>
      <w:r w:rsidRPr="00EE3AF3">
        <w:t xml:space="preserve"> </w:t>
      </w:r>
      <w:r>
        <w:rPr>
          <w:rFonts w:asciiTheme="majorHAnsi" w:hAnsiTheme="majorHAnsi" w:cstheme="majorHAnsi"/>
        </w:rPr>
        <w:t>Artur Nogueira, B</w:t>
      </w:r>
      <w:r w:rsidRPr="00EE3AF3">
        <w:rPr>
          <w:rFonts w:asciiTheme="majorHAnsi" w:hAnsiTheme="majorHAnsi" w:cstheme="majorHAnsi"/>
        </w:rPr>
        <w:t>oituva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Brotas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Campo Limpo Paulista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Conchal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Cordeirópolis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Cosmópolis</w:t>
      </w:r>
      <w:r>
        <w:rPr>
          <w:rFonts w:asciiTheme="majorHAnsi" w:hAnsiTheme="majorHAnsi" w:cstheme="majorHAnsi"/>
        </w:rPr>
        <w:t>, E</w:t>
      </w:r>
      <w:r w:rsidRPr="00EE3AF3">
        <w:rPr>
          <w:rFonts w:asciiTheme="majorHAnsi" w:hAnsiTheme="majorHAnsi" w:cstheme="majorHAnsi"/>
        </w:rPr>
        <w:t>ngenheiro Coelho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Holambra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Itapira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Jaguariúna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Jundiaí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Matão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Mogi Guaçu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Morungaba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 xml:space="preserve">Santo </w:t>
      </w:r>
      <w:r w:rsidRPr="00EE3AF3">
        <w:rPr>
          <w:rFonts w:asciiTheme="majorHAnsi" w:hAnsiTheme="majorHAnsi" w:cstheme="majorHAnsi"/>
        </w:rPr>
        <w:t>Antônio</w:t>
      </w:r>
      <w:r w:rsidRPr="00EE3AF3">
        <w:rPr>
          <w:rFonts w:asciiTheme="majorHAnsi" w:hAnsiTheme="majorHAnsi" w:cstheme="majorHAnsi"/>
        </w:rPr>
        <w:t xml:space="preserve"> de Posse</w:t>
      </w:r>
      <w:r>
        <w:rPr>
          <w:rFonts w:asciiTheme="majorHAnsi" w:hAnsiTheme="majorHAnsi" w:cstheme="majorHAnsi"/>
        </w:rPr>
        <w:t xml:space="preserve">, </w:t>
      </w:r>
      <w:r w:rsidRPr="00EE3AF3">
        <w:rPr>
          <w:rFonts w:asciiTheme="majorHAnsi" w:hAnsiTheme="majorHAnsi" w:cstheme="majorHAnsi"/>
        </w:rPr>
        <w:t>São Carlo</w:t>
      </w:r>
      <w:r>
        <w:rPr>
          <w:rFonts w:asciiTheme="majorHAnsi" w:hAnsiTheme="majorHAnsi" w:cstheme="majorHAnsi"/>
        </w:rPr>
        <w:t>s.</w:t>
      </w:r>
    </w:p>
    <w:p w:rsidR="001931ED" w:rsidP="001931ED" w14:paraId="491605FB" w14:textId="2BD4BB31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O consórcio </w:t>
      </w:r>
      <w:r w:rsidR="00150EF4">
        <w:rPr>
          <w:rFonts w:asciiTheme="majorHAnsi" w:hAnsiTheme="majorHAnsi" w:cstheme="majorHAnsi"/>
        </w:rPr>
        <w:t>possui uma série de servi</w:t>
      </w:r>
      <w:r>
        <w:rPr>
          <w:rFonts w:asciiTheme="majorHAnsi" w:hAnsiTheme="majorHAnsi" w:cstheme="majorHAnsi"/>
        </w:rPr>
        <w:t>ços cada</w:t>
      </w:r>
      <w:r w:rsidR="001F7F66">
        <w:rPr>
          <w:rFonts w:asciiTheme="majorHAnsi" w:hAnsiTheme="majorHAnsi" w:cstheme="majorHAnsi"/>
        </w:rPr>
        <w:t xml:space="preserve">strados </w:t>
      </w:r>
      <w:r>
        <w:rPr>
          <w:rFonts w:asciiTheme="majorHAnsi" w:hAnsiTheme="majorHAnsi" w:cstheme="majorHAnsi"/>
        </w:rPr>
        <w:t>que podem ser contratados pelos municípios através de suas secretarias. Citamos:</w:t>
      </w:r>
    </w:p>
    <w:p w:rsidR="001F7F66" w:rsidP="001F7F66" w14:paraId="1B1E140E" w14:textId="2F2BAE84">
      <w:pPr>
        <w:pStyle w:val="NormalWeb"/>
        <w:numPr>
          <w:ilvl w:val="0"/>
          <w:numId w:val="24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1931ED">
        <w:rPr>
          <w:rFonts w:asciiTheme="majorHAnsi" w:hAnsiTheme="majorHAnsi" w:cstheme="majorHAnsi"/>
          <w:b/>
        </w:rPr>
        <w:t>Zeladoria Urbana:</w:t>
      </w:r>
      <w:r w:rsidRPr="001931ED">
        <w:rPr>
          <w:rFonts w:asciiTheme="majorHAnsi" w:hAnsiTheme="majorHAnsi" w:cstheme="majorHAnsi"/>
        </w:rPr>
        <w:t xml:space="preserve"> Limpeza urbana, manutenção de vias, roçada de áreas públicas, conservaçã</w:t>
      </w:r>
      <w:r>
        <w:rPr>
          <w:rFonts w:asciiTheme="majorHAnsi" w:hAnsiTheme="majorHAnsi" w:cstheme="majorHAnsi"/>
        </w:rPr>
        <w:t>o de praças e espaços coletivos;</w:t>
      </w:r>
    </w:p>
    <w:p w:rsidR="001F7F66" w:rsidRPr="001F7F66" w:rsidP="001F7F66" w14:paraId="7634FF8C" w14:textId="77777777">
      <w:pPr>
        <w:pStyle w:val="NormalWeb"/>
        <w:ind w:left="714"/>
        <w:contextualSpacing/>
        <w:jc w:val="both"/>
        <w:rPr>
          <w:rFonts w:asciiTheme="majorHAnsi" w:hAnsiTheme="majorHAnsi" w:cstheme="majorHAnsi"/>
        </w:rPr>
      </w:pPr>
    </w:p>
    <w:p w:rsidR="001F7F66" w:rsidP="001F7F66" w14:paraId="6A3C9BBD" w14:textId="46CA2440">
      <w:pPr>
        <w:pStyle w:val="NormalWeb"/>
        <w:numPr>
          <w:ilvl w:val="0"/>
          <w:numId w:val="24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1931ED">
        <w:rPr>
          <w:rFonts w:asciiTheme="majorHAnsi" w:hAnsiTheme="majorHAnsi" w:cstheme="majorHAnsi"/>
          <w:b/>
        </w:rPr>
        <w:t>Iluminação Pública:</w:t>
      </w:r>
      <w:r w:rsidRPr="001931ED">
        <w:rPr>
          <w:rFonts w:asciiTheme="majorHAnsi" w:hAnsiTheme="majorHAnsi" w:cstheme="majorHAnsi"/>
        </w:rPr>
        <w:t xml:space="preserve"> Modernização, manutenção e melhoria da eficiência do parque de iluminação</w:t>
      </w:r>
      <w:r>
        <w:rPr>
          <w:rFonts w:asciiTheme="majorHAnsi" w:hAnsiTheme="majorHAnsi" w:cstheme="majorHAnsi"/>
        </w:rPr>
        <w:t xml:space="preserve"> pública;</w:t>
      </w:r>
    </w:p>
    <w:p w:rsidR="001F7F66" w:rsidRPr="001F7F66" w:rsidP="001F7F66" w14:paraId="53DD987F" w14:textId="77777777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1931ED" w:rsidP="001F7F66" w14:paraId="73B78531" w14:textId="0E7D4FFE">
      <w:pPr>
        <w:pStyle w:val="NormalWeb"/>
        <w:numPr>
          <w:ilvl w:val="0"/>
          <w:numId w:val="24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1931ED">
        <w:rPr>
          <w:rFonts w:asciiTheme="majorHAnsi" w:hAnsiTheme="majorHAnsi" w:cstheme="majorHAnsi"/>
          <w:b/>
        </w:rPr>
        <w:t>Gestão de Resíduos Sólidos:</w:t>
      </w:r>
      <w:r w:rsidRPr="001931ED">
        <w:rPr>
          <w:rFonts w:asciiTheme="majorHAnsi" w:hAnsiTheme="majorHAnsi" w:cstheme="majorHAnsi"/>
        </w:rPr>
        <w:t xml:space="preserve"> Coleta, tratament</w:t>
      </w:r>
      <w:r>
        <w:rPr>
          <w:rFonts w:asciiTheme="majorHAnsi" w:hAnsiTheme="majorHAnsi" w:cstheme="majorHAnsi"/>
        </w:rPr>
        <w:t>o e destinação adequada do lixo;</w:t>
      </w:r>
    </w:p>
    <w:p w:rsidR="001F7F66" w:rsidP="001F7F66" w14:paraId="0A6A289E" w14:textId="77777777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1931ED" w:rsidP="001F7F66" w14:paraId="2292F4DF" w14:textId="5DBC7718">
      <w:pPr>
        <w:pStyle w:val="NormalWeb"/>
        <w:numPr>
          <w:ilvl w:val="0"/>
          <w:numId w:val="24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1931ED">
        <w:rPr>
          <w:rFonts w:asciiTheme="majorHAnsi" w:hAnsiTheme="majorHAnsi" w:cstheme="majorHAnsi"/>
          <w:b/>
        </w:rPr>
        <w:t>Fornecimento de Mão de Obra Especializada:</w:t>
      </w:r>
      <w:r w:rsidRPr="001931ED">
        <w:rPr>
          <w:rFonts w:asciiTheme="majorHAnsi" w:hAnsiTheme="majorHAnsi" w:cstheme="majorHAnsi"/>
        </w:rPr>
        <w:t xml:space="preserve"> Disponibilização de equip</w:t>
      </w:r>
      <w:r>
        <w:rPr>
          <w:rFonts w:asciiTheme="majorHAnsi" w:hAnsiTheme="majorHAnsi" w:cstheme="majorHAnsi"/>
        </w:rPr>
        <w:t>es técnicas para diversas áreas;</w:t>
      </w:r>
    </w:p>
    <w:p w:rsidR="001F7F66" w:rsidP="001F7F66" w14:paraId="43D41C0C" w14:textId="77777777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1931ED" w:rsidP="001F7F66" w14:paraId="252CB27F" w14:textId="48A25D87">
      <w:pPr>
        <w:pStyle w:val="NormalWeb"/>
        <w:numPr>
          <w:ilvl w:val="0"/>
          <w:numId w:val="24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1931ED">
        <w:rPr>
          <w:rFonts w:asciiTheme="majorHAnsi" w:hAnsiTheme="majorHAnsi" w:cstheme="majorHAnsi"/>
          <w:b/>
        </w:rPr>
        <w:t>Contratação de Serviços e Obras:</w:t>
      </w:r>
      <w:r w:rsidRPr="001931ED">
        <w:rPr>
          <w:rFonts w:asciiTheme="majorHAnsi" w:hAnsiTheme="majorHAnsi" w:cstheme="majorHAnsi"/>
        </w:rPr>
        <w:t xml:space="preserve"> Agilidade na contratação por meio de banco de empresas credenciadas </w:t>
      </w:r>
      <w:r w:rsidR="001F7F66">
        <w:rPr>
          <w:rFonts w:asciiTheme="majorHAnsi" w:hAnsiTheme="majorHAnsi" w:cstheme="majorHAnsi"/>
        </w:rPr>
        <w:t>e valores previamente aprovados;</w:t>
      </w:r>
    </w:p>
    <w:p w:rsidR="001F7F66" w:rsidP="001F7F66" w14:paraId="17EAD80A" w14:textId="77777777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1931ED" w:rsidP="001F7F66" w14:paraId="771DD4A5" w14:textId="3EC8757F">
      <w:pPr>
        <w:pStyle w:val="NormalWeb"/>
        <w:numPr>
          <w:ilvl w:val="0"/>
          <w:numId w:val="24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1F7F66">
        <w:rPr>
          <w:rFonts w:asciiTheme="majorHAnsi" w:hAnsiTheme="majorHAnsi" w:cstheme="majorHAnsi"/>
          <w:b/>
        </w:rPr>
        <w:t>A</w:t>
      </w:r>
      <w:r w:rsidRPr="001F7F66">
        <w:rPr>
          <w:rFonts w:asciiTheme="majorHAnsi" w:hAnsiTheme="majorHAnsi" w:cstheme="majorHAnsi"/>
          <w:b/>
        </w:rPr>
        <w:t>cesso a Projetos, Financiamentos e Convênios:</w:t>
      </w:r>
      <w:r w:rsidRPr="001931ED">
        <w:rPr>
          <w:rFonts w:asciiTheme="majorHAnsi" w:hAnsiTheme="majorHAnsi" w:cstheme="majorHAnsi"/>
        </w:rPr>
        <w:t xml:space="preserve"> Facilitação para obtenção de recursos que seriam de difícil acesso individualmente.</w:t>
      </w:r>
    </w:p>
    <w:p w:rsidR="001F7F66" w:rsidP="001F7F66" w14:paraId="5F3659D9" w14:textId="77777777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1931ED" w:rsidRPr="001931ED" w:rsidP="00A43436" w14:paraId="7E45756B" w14:textId="44C495E9">
      <w:pPr>
        <w:pStyle w:val="NormalWeb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Segundo Estatuto Social o</w:t>
      </w:r>
      <w:r w:rsidRPr="00A43436">
        <w:rPr>
          <w:rFonts w:asciiTheme="majorHAnsi" w:hAnsiTheme="majorHAnsi" w:cstheme="majorHAnsi"/>
        </w:rPr>
        <w:t xml:space="preserve"> custeio do consórcio se dá por meio de um contrato de rateio, onde as despesas são divididas entre os municípios consorciados. A contribuição de cada município é definida com base em cotas fixas e variáveis</w:t>
      </w:r>
      <w:r>
        <w:rPr>
          <w:rFonts w:asciiTheme="majorHAnsi" w:hAnsiTheme="majorHAnsi" w:cstheme="majorHAnsi"/>
        </w:rPr>
        <w:t>, divididos da seguinte forma:</w:t>
      </w:r>
    </w:p>
    <w:p w:rsidR="001F7F66" w:rsidP="001F7F66" w14:paraId="7E97C36C" w14:textId="7720B40D">
      <w:pPr>
        <w:pStyle w:val="NormalWeb"/>
        <w:numPr>
          <w:ilvl w:val="0"/>
          <w:numId w:val="25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A43436">
        <w:rPr>
          <w:rFonts w:asciiTheme="majorHAnsi" w:hAnsiTheme="majorHAnsi" w:cstheme="majorHAnsi"/>
          <w:b/>
        </w:rPr>
        <w:t>Cota Fixa:</w:t>
      </w:r>
      <w:r w:rsidRPr="00A43436">
        <w:rPr>
          <w:rFonts w:asciiTheme="majorHAnsi" w:hAnsiTheme="majorHAnsi" w:cstheme="majorHAnsi"/>
        </w:rPr>
        <w:t xml:space="preserve"> cobre as despesas administrativas e de manutenção da estrutura do consórcio, como salários da equipe técnica e administrativa, aluguel de sede, custos operacionais básicos e outras despesas inerentes ao funcionamento da entidade. Esta cota é usualmente igualitária entre todos os municípios consorciados, garantindo a sustentabilidade da gestão do CONDESU</w:t>
      </w:r>
      <w:r w:rsidR="00417E23">
        <w:rPr>
          <w:rFonts w:asciiTheme="majorHAnsi" w:hAnsiTheme="majorHAnsi" w:cstheme="majorHAnsi"/>
        </w:rPr>
        <w:t>;</w:t>
      </w:r>
    </w:p>
    <w:p w:rsidR="001F7F66" w:rsidRPr="001F7F66" w:rsidP="001F7F66" w14:paraId="0103C6CA" w14:textId="77777777">
      <w:pPr>
        <w:pStyle w:val="NormalWeb"/>
        <w:ind w:left="714"/>
        <w:contextualSpacing/>
        <w:jc w:val="both"/>
        <w:rPr>
          <w:rFonts w:asciiTheme="majorHAnsi" w:hAnsiTheme="majorHAnsi" w:cstheme="majorHAnsi"/>
        </w:rPr>
      </w:pPr>
    </w:p>
    <w:p w:rsidR="00417E23" w:rsidP="00417E23" w14:paraId="56379FAA" w14:textId="2060A048">
      <w:pPr>
        <w:pStyle w:val="NormalWeb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417E23">
        <w:rPr>
          <w:rFonts w:asciiTheme="majorHAnsi" w:hAnsiTheme="majorHAnsi" w:cstheme="majorHAnsi"/>
          <w:b/>
        </w:rPr>
        <w:t>Cota Variável</w:t>
      </w:r>
      <w:r w:rsidRPr="00417E23">
        <w:rPr>
          <w:rFonts w:asciiTheme="majorHAnsi" w:hAnsiTheme="majorHAnsi" w:cstheme="majorHAnsi"/>
        </w:rPr>
        <w:t xml:space="preserve">: Refere-se aos custos diretos dos serviços e projetos específicos que cada município opta por utilizar. Por exemplo, se um município demanda mais serviços de zeladoria urbana ou iluminação pública, sua cota variável será proporcional ao volume e complexidade desses serviços. Isso permite que os municípios paguem </w:t>
      </w:r>
      <w:r w:rsidRPr="00417E23">
        <w:rPr>
          <w:rFonts w:asciiTheme="majorHAnsi" w:hAnsiTheme="majorHAnsi" w:cstheme="majorHAnsi"/>
        </w:rPr>
        <w:t>apenas pelos serviços que efetivamente utilizam, otimizando recursos e evitando custos desnecessários</w:t>
      </w:r>
      <w:r>
        <w:rPr>
          <w:rFonts w:asciiTheme="majorHAnsi" w:hAnsiTheme="majorHAnsi" w:cstheme="majorHAnsi"/>
        </w:rPr>
        <w:t>.</w:t>
      </w:r>
    </w:p>
    <w:p w:rsidR="00417E23" w:rsidP="00417E23" w14:paraId="35F1A679" w14:textId="260B85D7">
      <w:pPr>
        <w:pStyle w:val="NormalWeb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Conforme proposta de adesão constante nos autos (fls.61 e 62) as cotas fixas são subdivididas em 3 cotas, sendo assim distribuídas:</w:t>
      </w:r>
    </w:p>
    <w:p w:rsidR="00417E23" w:rsidP="00417E23" w14:paraId="6627D288" w14:textId="18CF5F33">
      <w:pPr>
        <w:pStyle w:val="NormalWeb"/>
        <w:numPr>
          <w:ilvl w:val="0"/>
          <w:numId w:val="27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417E23">
        <w:rPr>
          <w:rFonts w:asciiTheme="majorHAnsi" w:hAnsiTheme="majorHAnsi" w:cstheme="majorHAnsi"/>
          <w:b/>
        </w:rPr>
        <w:t>Cota Administrativa</w:t>
      </w:r>
      <w:r w:rsidRPr="00417E23">
        <w:rPr>
          <w:rFonts w:asciiTheme="majorHAnsi" w:hAnsiTheme="majorHAnsi" w:cstheme="majorHAnsi"/>
        </w:rPr>
        <w:t>: destinada ao custeio das despesas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administrativas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do Consórci</w:t>
      </w:r>
      <w:r w:rsidRPr="00417E23">
        <w:rPr>
          <w:rFonts w:asciiTheme="majorHAnsi" w:hAnsiTheme="majorHAnsi" w:cstheme="majorHAnsi"/>
        </w:rPr>
        <w:t xml:space="preserve">o, conforme disposto no Anexo I </w:t>
      </w:r>
      <w:r w:rsidRPr="00417E23">
        <w:rPr>
          <w:rFonts w:asciiTheme="majorHAnsi" w:hAnsiTheme="majorHAnsi" w:cstheme="majorHAnsi"/>
        </w:rPr>
        <w:t>do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Contrato de Rateio, rateada igualmente entre os municípios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consorciados, com valor mensal fixado em R$ 19.950,00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(dezenove mil novecentos e cinquenta reais) por município, para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 xml:space="preserve">o período de </w:t>
      </w:r>
      <w:r>
        <w:rPr>
          <w:rFonts w:asciiTheme="majorHAnsi" w:hAnsiTheme="majorHAnsi" w:cstheme="majorHAnsi"/>
        </w:rPr>
        <w:t xml:space="preserve">janeiro a dezembro de 2025, com </w:t>
      </w:r>
      <w:r w:rsidRPr="00417E23">
        <w:rPr>
          <w:rFonts w:asciiTheme="majorHAnsi" w:hAnsiTheme="majorHAnsi" w:cstheme="majorHAnsi"/>
        </w:rPr>
        <w:t>vencimento no</w:t>
      </w:r>
      <w:r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dia 20 de cada mês;</w:t>
      </w:r>
    </w:p>
    <w:p w:rsidR="00417E23" w:rsidRPr="00417E23" w:rsidP="00417E23" w14:paraId="664E7253" w14:textId="77777777">
      <w:pPr>
        <w:pStyle w:val="NormalWeb"/>
        <w:ind w:left="714"/>
        <w:contextualSpacing/>
        <w:jc w:val="both"/>
        <w:rPr>
          <w:rFonts w:asciiTheme="majorHAnsi" w:hAnsiTheme="majorHAnsi" w:cstheme="majorHAnsi"/>
        </w:rPr>
      </w:pPr>
    </w:p>
    <w:p w:rsidR="00417E23" w:rsidP="00417E23" w14:paraId="6ECF1C25" w14:textId="7DB2AC44">
      <w:pPr>
        <w:pStyle w:val="NormalWeb"/>
        <w:numPr>
          <w:ilvl w:val="0"/>
          <w:numId w:val="27"/>
        </w:numPr>
        <w:ind w:left="714" w:hanging="357"/>
        <w:contextualSpacing/>
        <w:jc w:val="both"/>
        <w:rPr>
          <w:rFonts w:asciiTheme="majorHAnsi" w:hAnsiTheme="majorHAnsi" w:cstheme="majorHAnsi"/>
        </w:rPr>
      </w:pPr>
      <w:r w:rsidRPr="00417E23">
        <w:rPr>
          <w:rFonts w:asciiTheme="majorHAnsi" w:hAnsiTheme="majorHAnsi" w:cstheme="majorHAnsi"/>
          <w:b/>
        </w:rPr>
        <w:t>Cota Britagem:</w:t>
      </w:r>
      <w:r w:rsidRPr="00417E23">
        <w:rPr>
          <w:rFonts w:asciiTheme="majorHAnsi" w:hAnsiTheme="majorHAnsi" w:cstheme="majorHAnsi"/>
        </w:rPr>
        <w:t xml:space="preserve"> destinada ao custeio das despesas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decorrentes da disponibilização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contínua de equipes de britagem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e do respectivo maquinári</w:t>
      </w:r>
      <w:r w:rsidRPr="00417E23">
        <w:rPr>
          <w:rFonts w:asciiTheme="majorHAnsi" w:hAnsiTheme="majorHAnsi" w:cstheme="majorHAnsi"/>
        </w:rPr>
        <w:t>o, conforme disposto no Anexo II</w:t>
      </w:r>
      <w:r w:rsidRPr="00417E23">
        <w:rPr>
          <w:rFonts w:asciiTheme="majorHAnsi" w:hAnsiTheme="majorHAnsi" w:cstheme="majorHAnsi"/>
        </w:rPr>
        <w:t xml:space="preserve"> do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Contrato de Rateio, rateada entre os municípios que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manifestaram interesse neste serviço e calculada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proporcionalmente</w:t>
      </w:r>
      <w:r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ao volume de resíduos britados em cada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município. O valor médio mensal estimado para este ano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corresponde a R$ 4.789,97 (quatro mil setecentos e oitenta e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nove reais e noventa e sete centavos) por município. O cálculo é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realizado considerando o período do dia 1º ao último dia de cada</w:t>
      </w:r>
      <w:r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mês, com vencimento no últ</w:t>
      </w:r>
      <w:r>
        <w:rPr>
          <w:rFonts w:asciiTheme="majorHAnsi" w:hAnsiTheme="majorHAnsi" w:cstheme="majorHAnsi"/>
        </w:rPr>
        <w:t>imo dia útil do mês subsequente.</w:t>
      </w:r>
      <w:r w:rsidRPr="00417E23">
        <w:t xml:space="preserve"> </w:t>
      </w:r>
    </w:p>
    <w:p w:rsidR="00417E23" w:rsidRPr="00417E23" w:rsidP="00417E23" w14:paraId="76396DD3" w14:textId="77777777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417E23" w:rsidRPr="00417E23" w:rsidP="00B042D1" w14:paraId="07A3884F" w14:textId="74EE235A">
      <w:pPr>
        <w:pStyle w:val="NormalWeb"/>
        <w:numPr>
          <w:ilvl w:val="0"/>
          <w:numId w:val="27"/>
        </w:numPr>
        <w:contextualSpacing/>
        <w:jc w:val="both"/>
        <w:rPr>
          <w:rFonts w:asciiTheme="majorHAnsi" w:hAnsiTheme="majorHAnsi" w:cstheme="majorHAnsi"/>
        </w:rPr>
      </w:pPr>
      <w:r w:rsidRPr="001E6B03">
        <w:rPr>
          <w:rFonts w:asciiTheme="majorHAnsi" w:hAnsiTheme="majorHAnsi" w:cstheme="majorHAnsi"/>
          <w:b/>
        </w:rPr>
        <w:t xml:space="preserve">Cota </w:t>
      </w:r>
      <w:r w:rsidRPr="001E6B03">
        <w:rPr>
          <w:rFonts w:asciiTheme="majorHAnsi" w:hAnsiTheme="majorHAnsi" w:cstheme="majorHAnsi"/>
          <w:b/>
        </w:rPr>
        <w:t>Call</w:t>
      </w:r>
      <w:r w:rsidRPr="001E6B03">
        <w:rPr>
          <w:rFonts w:asciiTheme="majorHAnsi" w:hAnsiTheme="majorHAnsi" w:cstheme="majorHAnsi"/>
          <w:b/>
        </w:rPr>
        <w:t xml:space="preserve"> Center / I.P.:</w:t>
      </w:r>
      <w:r w:rsidRPr="00417E23">
        <w:rPr>
          <w:rFonts w:asciiTheme="majorHAnsi" w:hAnsiTheme="majorHAnsi" w:cstheme="majorHAnsi"/>
        </w:rPr>
        <w:t xml:space="preserve"> destinada ao custeio das despesas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 xml:space="preserve">relacionadas à disponibilização contínua de equipe de </w:t>
      </w:r>
      <w:r w:rsidRPr="00417E23">
        <w:rPr>
          <w:rFonts w:asciiTheme="majorHAnsi" w:hAnsiTheme="majorHAnsi" w:cstheme="majorHAnsi"/>
        </w:rPr>
        <w:t>call</w:t>
      </w:r>
      <w:r w:rsidRPr="00417E23">
        <w:rPr>
          <w:rFonts w:asciiTheme="majorHAnsi" w:hAnsiTheme="majorHAnsi" w:cstheme="majorHAnsi"/>
        </w:rPr>
        <w:t xml:space="preserve"> center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e sistema informatizado para atender às demandas de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solicitações de manutenção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da iluminação pública (I.P.),</w:t>
      </w:r>
      <w:r w:rsidRPr="00417E23">
        <w:rPr>
          <w:rFonts w:asciiTheme="majorHAnsi" w:hAnsiTheme="majorHAnsi" w:cstheme="majorHAnsi"/>
        </w:rPr>
        <w:t xml:space="preserve"> conforme disposto no Anexo III</w:t>
      </w:r>
      <w:r w:rsidRPr="00417E23">
        <w:rPr>
          <w:rFonts w:asciiTheme="majorHAnsi" w:hAnsiTheme="majorHAnsi" w:cstheme="majorHAnsi"/>
        </w:rPr>
        <w:t xml:space="preserve"> do Contrato de Rateio, rateada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 xml:space="preserve">igualmente entre os municípios que utilizam os serviços de </w:t>
      </w:r>
      <w:r w:rsidRPr="00417E23">
        <w:rPr>
          <w:rFonts w:asciiTheme="majorHAnsi" w:hAnsiTheme="majorHAnsi" w:cstheme="majorHAnsi"/>
        </w:rPr>
        <w:t>call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center. O valor mensal estimado para este ano corresponde a R$4.437,04 (quatro mil quatrocentos e trinta e sete reais e quatro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centavos) por município. O cálculo é realizado considerando o</w:t>
      </w:r>
      <w:r w:rsidRPr="00417E23"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período do dia 1º ao último dia de cada mês, com vencimento no</w:t>
      </w:r>
      <w:r>
        <w:rPr>
          <w:rFonts w:asciiTheme="majorHAnsi" w:hAnsiTheme="majorHAnsi" w:cstheme="majorHAnsi"/>
        </w:rPr>
        <w:t xml:space="preserve"> </w:t>
      </w:r>
      <w:r w:rsidRPr="00417E23">
        <w:rPr>
          <w:rFonts w:asciiTheme="majorHAnsi" w:hAnsiTheme="majorHAnsi" w:cstheme="majorHAnsi"/>
        </w:rPr>
        <w:t>último dia útil do mês subsequente.</w:t>
      </w:r>
    </w:p>
    <w:p w:rsidR="001F7F66" w:rsidP="001E6B03" w14:paraId="08EDF566" w14:textId="77777777">
      <w:pPr>
        <w:pStyle w:val="NormalWeb"/>
        <w:ind w:firstLine="720"/>
        <w:jc w:val="both"/>
        <w:rPr>
          <w:rFonts w:asciiTheme="majorHAnsi" w:hAnsiTheme="majorHAnsi" w:cstheme="majorHAnsi"/>
        </w:rPr>
      </w:pPr>
    </w:p>
    <w:p w:rsidR="001E6B03" w:rsidP="001E6B03" w14:paraId="18A3C679" w14:textId="77777777">
      <w:pPr>
        <w:pStyle w:val="NormalWeb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Ainda segundo a proposta, os municípios são obrigados no ato da adesão a custear minimamente com a cota fixa administrativa, isto é, o v</w:t>
      </w:r>
      <w:r w:rsidR="00A43436">
        <w:rPr>
          <w:rFonts w:asciiTheme="majorHAnsi" w:hAnsiTheme="majorHAnsi" w:cstheme="majorHAnsi"/>
        </w:rPr>
        <w:t>alor de R$ 19.950,00</w:t>
      </w:r>
      <w:r>
        <w:rPr>
          <w:rFonts w:asciiTheme="majorHAnsi" w:hAnsiTheme="majorHAnsi" w:cstheme="majorHAnsi"/>
        </w:rPr>
        <w:t xml:space="preserve">. Desta forma, atualizando o valor inicial proposta (proposta apresentada em julho), a despesa prevista para finalização deste ano será de R$39.900,00, equivalente aos valores devido em novembro e dezembro. </w:t>
      </w:r>
    </w:p>
    <w:p w:rsidR="00D67961" w:rsidP="001E6B03" w14:paraId="19A6D396" w14:textId="77777777">
      <w:pPr>
        <w:pStyle w:val="NormalWeb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584829">
        <w:rPr>
          <w:rFonts w:asciiTheme="majorHAnsi" w:hAnsiTheme="majorHAnsi" w:cstheme="majorHAnsi"/>
        </w:rPr>
        <w:t xml:space="preserve">ara os exercícios subsequentes, está prevista uma despesa anual </w:t>
      </w:r>
      <w:r>
        <w:rPr>
          <w:rFonts w:asciiTheme="majorHAnsi" w:hAnsiTheme="majorHAnsi" w:cstheme="majorHAnsi"/>
        </w:rPr>
        <w:t xml:space="preserve">mínima </w:t>
      </w:r>
      <w:r w:rsidRPr="00584829">
        <w:rPr>
          <w:rFonts w:asciiTheme="majorHAnsi" w:hAnsiTheme="majorHAnsi" w:cstheme="majorHAnsi"/>
        </w:rPr>
        <w:t>de aproximadamente R$ 239.400,00 (duzentos e trinta e nove mil e quatrocentos reais), considerando</w:t>
      </w:r>
      <w:r>
        <w:rPr>
          <w:rFonts w:asciiTheme="majorHAnsi" w:hAnsiTheme="majorHAnsi" w:cstheme="majorHAnsi"/>
        </w:rPr>
        <w:t xml:space="preserve"> apenas </w:t>
      </w:r>
      <w:r w:rsidRPr="00584829">
        <w:rPr>
          <w:rFonts w:asciiTheme="majorHAnsi" w:hAnsiTheme="majorHAnsi" w:cstheme="majorHAnsi"/>
        </w:rPr>
        <w:t xml:space="preserve">uma contribuição mensal </w:t>
      </w:r>
      <w:r>
        <w:rPr>
          <w:rFonts w:asciiTheme="majorHAnsi" w:hAnsiTheme="majorHAnsi" w:cstheme="majorHAnsi"/>
        </w:rPr>
        <w:t xml:space="preserve">da cota administrativa </w:t>
      </w:r>
      <w:r w:rsidRPr="00584829">
        <w:rPr>
          <w:rFonts w:asciiTheme="majorHAnsi" w:hAnsiTheme="majorHAnsi" w:cstheme="majorHAnsi"/>
        </w:rPr>
        <w:t>no valor de R$ 19.950,00 (dezenove mil, novecentos e cinquenta reais). As despesas serão custeadas por dotações próprias da Se</w:t>
      </w:r>
      <w:r>
        <w:rPr>
          <w:rFonts w:asciiTheme="majorHAnsi" w:hAnsiTheme="majorHAnsi" w:cstheme="majorHAnsi"/>
        </w:rPr>
        <w:t xml:space="preserve">cretaria de Serviços Municipais, que segundo seu ordenador de despesa (Secretário </w:t>
      </w:r>
      <w:r>
        <w:rPr>
          <w:rFonts w:asciiTheme="majorHAnsi" w:hAnsiTheme="majorHAnsi" w:cstheme="majorHAnsi"/>
        </w:rPr>
        <w:t>Oberdan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Quaglio</w:t>
      </w:r>
      <w:r>
        <w:rPr>
          <w:rFonts w:asciiTheme="majorHAnsi" w:hAnsiTheme="majorHAnsi" w:cstheme="majorHAnsi"/>
        </w:rPr>
        <w:t xml:space="preserve">) possui capacidade para arcar com os gastos. </w:t>
      </w:r>
      <w:r>
        <w:rPr>
          <w:rFonts w:asciiTheme="majorHAnsi" w:hAnsiTheme="majorHAnsi" w:cstheme="majorHAnsi"/>
        </w:rPr>
        <w:t>Tal informação é corroborada pelo despacho da Secretaria Municipal de Finanças.</w:t>
      </w:r>
    </w:p>
    <w:p w:rsidR="001F7F66" w:rsidP="00D67961" w14:paraId="2BEBFE82" w14:textId="77777777">
      <w:pPr>
        <w:pStyle w:val="NormalWeb"/>
        <w:ind w:firstLine="720"/>
        <w:jc w:val="both"/>
        <w:rPr>
          <w:rFonts w:asciiTheme="majorHAnsi" w:hAnsiTheme="majorHAnsi" w:cstheme="majorHAnsi"/>
        </w:rPr>
      </w:pPr>
    </w:p>
    <w:p w:rsidR="00D67961" w:rsidP="00D67961" w14:paraId="7594A2F9" w14:textId="7810A161">
      <w:pPr>
        <w:pStyle w:val="NormalWeb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entanto, pontuamos duas situações que consideramos relevantes do ponto de vista financeiro: </w:t>
      </w:r>
    </w:p>
    <w:p w:rsidR="001E6B03" w:rsidP="00D67961" w14:paraId="015205DE" w14:textId="634DDC40">
      <w:pPr>
        <w:pStyle w:val="NormalWeb"/>
        <w:ind w:left="720"/>
        <w:jc w:val="both"/>
        <w:rPr>
          <w:rFonts w:asciiTheme="majorHAnsi" w:hAnsiTheme="majorHAnsi" w:cstheme="majorHAnsi"/>
        </w:rPr>
      </w:pPr>
      <w:r w:rsidRPr="00D67961">
        <w:rPr>
          <w:rFonts w:asciiTheme="majorHAnsi" w:hAnsiTheme="majorHAnsi" w:cstheme="majorHAnsi"/>
          <w:b/>
        </w:rPr>
        <w:t>1ª</w:t>
      </w:r>
      <w:r w:rsidR="001F7F66">
        <w:rPr>
          <w:rFonts w:asciiTheme="majorHAnsi" w:hAnsiTheme="majorHAnsi" w:cstheme="majorHAnsi"/>
        </w:rPr>
        <w:t>. Observa-se</w:t>
      </w:r>
      <w:r w:rsidR="001F7F66">
        <w:rPr>
          <w:rFonts w:asciiTheme="majorHAnsi" w:hAnsiTheme="majorHAnsi" w:cstheme="majorHAnsi"/>
        </w:rPr>
        <w:t xml:space="preserve"> que</w:t>
      </w:r>
      <w:r>
        <w:rPr>
          <w:rFonts w:asciiTheme="majorHAnsi" w:hAnsiTheme="majorHAnsi" w:cstheme="majorHAnsi"/>
        </w:rPr>
        <w:t xml:space="preserve"> a estimativa de Impacto Financeira apresentada nos autos (f</w:t>
      </w:r>
      <w:r w:rsidR="001F7F66">
        <w:rPr>
          <w:rFonts w:asciiTheme="majorHAnsi" w:hAnsiTheme="majorHAnsi" w:cstheme="majorHAnsi"/>
        </w:rPr>
        <w:t xml:space="preserve">l.59) não traz a projeção de </w:t>
      </w:r>
      <w:r>
        <w:rPr>
          <w:rFonts w:asciiTheme="majorHAnsi" w:hAnsiTheme="majorHAnsi" w:cstheme="majorHAnsi"/>
        </w:rPr>
        <w:t>eventuais correções monetárias ou reajustes</w:t>
      </w:r>
      <w:r w:rsidR="001F7F66">
        <w:rPr>
          <w:rFonts w:asciiTheme="majorHAnsi" w:hAnsiTheme="majorHAnsi" w:cstheme="majorHAnsi"/>
        </w:rPr>
        <w:t xml:space="preserve"> anuais</w:t>
      </w:r>
      <w:r>
        <w:rPr>
          <w:rFonts w:asciiTheme="majorHAnsi" w:hAnsiTheme="majorHAnsi" w:cstheme="majorHAnsi"/>
        </w:rPr>
        <w:t>.</w:t>
      </w:r>
    </w:p>
    <w:p w:rsidR="00D67961" w:rsidRPr="00D67961" w:rsidP="00D67961" w14:paraId="5E8650F9" w14:textId="2E253068">
      <w:pPr>
        <w:pStyle w:val="NormalWeb"/>
        <w:ind w:left="720"/>
        <w:jc w:val="both"/>
        <w:rPr>
          <w:rFonts w:asciiTheme="majorHAnsi" w:hAnsiTheme="majorHAnsi" w:cstheme="majorHAnsi"/>
        </w:rPr>
      </w:pPr>
      <w:r w:rsidRPr="00D67961">
        <w:rPr>
          <w:rFonts w:asciiTheme="majorHAnsi" w:hAnsiTheme="majorHAnsi" w:cstheme="majorHAnsi"/>
          <w:b/>
        </w:rPr>
        <w:t>2º</w:t>
      </w:r>
      <w:r>
        <w:rPr>
          <w:rFonts w:asciiTheme="majorHAnsi" w:hAnsiTheme="majorHAnsi" w:cstheme="majorHAnsi"/>
          <w:b/>
        </w:rPr>
        <w:t>.</w:t>
      </w:r>
      <w:r w:rsidRPr="00D67961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A estimativa foi elaborada apenas com os custos da cota obrigatória</w:t>
      </w:r>
      <w:r w:rsidR="001F7F66">
        <w:rPr>
          <w:rFonts w:asciiTheme="majorHAnsi" w:hAnsiTheme="majorHAnsi" w:cstheme="majorHAnsi"/>
        </w:rPr>
        <w:t xml:space="preserve"> (cota administrativa)</w:t>
      </w:r>
      <w:r>
        <w:rPr>
          <w:rFonts w:asciiTheme="majorHAnsi" w:hAnsiTheme="majorHAnsi" w:cstheme="majorHAnsi"/>
        </w:rPr>
        <w:t>, não foi elaborada projeção para eventuais novas contratações de serviços enquadrados como variáveis;</w:t>
      </w:r>
    </w:p>
    <w:p w:rsidR="00D67961" w:rsidP="00D67961" w14:paraId="6269AFAC" w14:textId="77777777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D67961" w:rsidP="00D67961" w14:paraId="518833A6" w14:textId="590A7123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 modo geral, entendemos que a atividade consorciada entre os municípios facilita e aprimora a gestão dos serviços públicos</w:t>
      </w:r>
      <w:r w:rsidR="00282E40">
        <w:rPr>
          <w:rFonts w:asciiTheme="majorHAnsi" w:hAnsiTheme="majorHAnsi" w:cstheme="majorHAnsi"/>
        </w:rPr>
        <w:t xml:space="preserve">, </w:t>
      </w:r>
      <w:bookmarkStart w:id="0" w:name="_GoBack"/>
      <w:bookmarkEnd w:id="0"/>
      <w:r w:rsidR="00282E40">
        <w:rPr>
          <w:rFonts w:asciiTheme="majorHAnsi" w:hAnsiTheme="majorHAnsi" w:cstheme="majorHAnsi"/>
        </w:rPr>
        <w:t>porém, recordamos que o</w:t>
      </w:r>
      <w:r>
        <w:rPr>
          <w:rFonts w:asciiTheme="majorHAnsi" w:hAnsiTheme="majorHAnsi" w:cstheme="majorHAnsi"/>
        </w:rPr>
        <w:t xml:space="preserve"> município já possui adesão ao consórcio CEMMIL que apresenta escopo semelhante ao proposto neste Projeto, para tanto, consideramos importante advertir para que a administração municipal verifique com exatidão os serviços que serão executados por cada consórcio, inclusiv</w:t>
      </w:r>
      <w:r w:rsidR="001F7F66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reavaliando a execução e manutenção dos serviços</w:t>
      </w:r>
      <w:r w:rsidR="001F7F66">
        <w:rPr>
          <w:rFonts w:asciiTheme="majorHAnsi" w:hAnsiTheme="majorHAnsi" w:cstheme="majorHAnsi"/>
        </w:rPr>
        <w:t xml:space="preserve"> de cada adesão</w:t>
      </w:r>
      <w:r>
        <w:rPr>
          <w:rFonts w:asciiTheme="majorHAnsi" w:hAnsiTheme="majorHAnsi" w:cstheme="majorHAnsi"/>
        </w:rPr>
        <w:t>.</w:t>
      </w:r>
      <w:r w:rsidRPr="00D677F3" w:rsidR="00472595">
        <w:rPr>
          <w:rFonts w:asciiTheme="majorHAnsi" w:hAnsiTheme="majorHAnsi" w:cstheme="majorHAnsi"/>
        </w:rPr>
        <w:t xml:space="preserve">   </w:t>
      </w:r>
    </w:p>
    <w:p w:rsidR="00D67961" w:rsidP="00D677F3" w14:paraId="66D75A05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D67961" w14:paraId="6A3C448C" w14:textId="6EA55445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Diante de todo exposto, não se identifica óbice para a sua regular tramitação e aprovação por esta Casa Legislativa.</w:t>
      </w:r>
    </w:p>
    <w:p w:rsidR="009D4F58" w:rsidRPr="00D677F3" w:rsidP="00D677F3" w14:paraId="251EAD0A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D677F3" w14:paraId="6DADA563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 w14:paraId="39AEB170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 w14:paraId="7DD9F3DE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45568C">
        <w:rPr>
          <w:rFonts w:asciiTheme="majorHAnsi" w:hAnsiTheme="majorHAnsi" w:cstheme="majorHAnsi"/>
        </w:rPr>
        <w:t>do Projeto de Lei Nº 111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 w14:paraId="2D6D9837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 w14:paraId="0E1F8D00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P="00D677F3" w14:paraId="6B70F850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 w14:paraId="67F3018E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 w14:paraId="708FA563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 w14:paraId="51C8AA05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F660F1" w:rsidP="00581E42" w14:paraId="1A2F60C1" w14:textId="77777777">
      <w:pPr>
        <w:pStyle w:val="NormalWeb"/>
        <w:spacing w:after="0" w:afterAutospacing="0"/>
        <w:contextualSpacing/>
        <w:rPr>
          <w:rFonts w:asciiTheme="majorHAnsi" w:hAnsiTheme="majorHAnsi" w:cstheme="majorHAnsi"/>
        </w:rPr>
      </w:pPr>
    </w:p>
    <w:p w:rsidR="00F660F1" w:rsidP="00D677F3" w14:paraId="269F84E9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581E42" w:rsidP="00D677F3" w14:paraId="50BAAC58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D31303" w:rsidP="00D677F3" w14:paraId="247293AC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D31303" w:rsidP="00D677F3" w14:paraId="5A97EFF2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20584A" w:rsidP="00D677F3" w14:paraId="11DCF52D" w14:textId="0FEF2A40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0</w:t>
      </w:r>
      <w:r w:rsidR="00D67961">
        <w:rPr>
          <w:rFonts w:asciiTheme="majorHAnsi" w:hAnsiTheme="majorHAnsi" w:cstheme="majorHAnsi"/>
        </w:rPr>
        <w:t>2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>
        <w:rPr>
          <w:rFonts w:asciiTheme="majorHAnsi" w:hAnsiTheme="majorHAnsi" w:cstheme="majorHAnsi"/>
        </w:rPr>
        <w:t>outu</w:t>
      </w:r>
      <w:r w:rsidR="00966576">
        <w:rPr>
          <w:rFonts w:asciiTheme="majorHAnsi" w:hAnsiTheme="majorHAnsi" w:cstheme="majorHAnsi"/>
        </w:rPr>
        <w:t>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 w14:paraId="64B68627" w14:textId="77777777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 w14:paraId="494578F5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 w14:paraId="093E3356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 w14:paraId="32442609" w14:textId="77777777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966576" w:rsidP="004A4450" w14:paraId="7B73FF28" w14:textId="77777777">
      <w:pPr>
        <w:rPr>
          <w:rFonts w:asciiTheme="majorHAnsi" w:hAnsiTheme="majorHAnsi" w:cstheme="majorHAnsi"/>
          <w:b/>
          <w:sz w:val="24"/>
          <w:szCs w:val="24"/>
        </w:rPr>
      </w:pPr>
    </w:p>
    <w:p w:rsidR="00966576" w:rsidP="004A4450" w14:paraId="2C10A435" w14:textId="77777777">
      <w:pPr>
        <w:rPr>
          <w:rFonts w:asciiTheme="majorHAnsi" w:hAnsiTheme="majorHAnsi" w:cstheme="majorHAnsi"/>
          <w:b/>
          <w:sz w:val="24"/>
          <w:szCs w:val="24"/>
        </w:rPr>
      </w:pPr>
    </w:p>
    <w:p w:rsidR="00581E42" w:rsidP="004A4450" w14:paraId="44A2FBE0" w14:textId="77777777">
      <w:pPr>
        <w:rPr>
          <w:rFonts w:asciiTheme="majorHAnsi" w:hAnsiTheme="majorHAnsi" w:cstheme="majorHAnsi"/>
          <w:b/>
          <w:sz w:val="24"/>
          <w:szCs w:val="24"/>
        </w:rPr>
      </w:pPr>
    </w:p>
    <w:p w:rsidR="00581E42" w:rsidP="004A4450" w14:paraId="3BA59AF7" w14:textId="77777777">
      <w:pPr>
        <w:rPr>
          <w:rFonts w:asciiTheme="majorHAnsi" w:hAnsiTheme="majorHAnsi" w:cstheme="majorHAnsi"/>
          <w:b/>
          <w:sz w:val="24"/>
          <w:szCs w:val="24"/>
        </w:rPr>
      </w:pPr>
    </w:p>
    <w:p w:rsidR="00581E42" w:rsidP="004A4450" w14:paraId="5B36C05C" w14:textId="77777777">
      <w:pPr>
        <w:rPr>
          <w:rFonts w:asciiTheme="majorHAnsi" w:hAnsiTheme="majorHAnsi" w:cstheme="majorHAnsi"/>
          <w:b/>
          <w:sz w:val="24"/>
          <w:szCs w:val="24"/>
        </w:rPr>
      </w:pPr>
    </w:p>
    <w:p w:rsidR="006B31CF" w:rsidRPr="008E6358" w:rsidP="001F7F66" w14:paraId="403BC04A" w14:textId="54E708E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  <w:r w:rsidR="001F7F66">
        <w:rPr>
          <w:rFonts w:asciiTheme="majorHAnsi" w:hAnsiTheme="majorHAnsi" w:cstheme="majorHAnsi"/>
          <w:b/>
          <w:sz w:val="24"/>
          <w:szCs w:val="24"/>
        </w:rPr>
        <w:t>PA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RECER FAVORÁVEL DA COMISSÃO DE FINANÇAS E ORÇAMENTO.</w:t>
      </w:r>
    </w:p>
    <w:p w:rsidR="00D75C8D" w:rsidRPr="00D677F3" w:rsidP="00D677F3" w14:paraId="4F4CBAFD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 w14:paraId="4DAE4929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 w14:paraId="32398E26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 w14:paraId="650F22FE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 w14:paraId="10BE464A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732164" w:rsidP="00D677F3" w14:paraId="6E9B3A74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 w14:paraId="541E6F79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 w14:paraId="2EA74E33" w14:textId="2D01A1FE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C637ED">
        <w:rPr>
          <w:rFonts w:asciiTheme="majorHAnsi" w:hAnsiTheme="majorHAnsi" w:cstheme="majorHAnsi"/>
        </w:rPr>
        <w:t>0</w:t>
      </w:r>
      <w:r w:rsidR="00D67961">
        <w:rPr>
          <w:rFonts w:asciiTheme="majorHAnsi" w:hAnsiTheme="majorHAnsi" w:cstheme="majorHAnsi"/>
        </w:rPr>
        <w:t>2</w:t>
      </w:r>
      <w:r w:rsidR="00637C5F">
        <w:rPr>
          <w:rFonts w:asciiTheme="majorHAnsi" w:hAnsiTheme="majorHAnsi" w:cstheme="majorHAnsi"/>
        </w:rPr>
        <w:t xml:space="preserve"> de </w:t>
      </w:r>
      <w:r w:rsidR="00C637ED">
        <w:rPr>
          <w:rFonts w:asciiTheme="majorHAnsi" w:hAnsiTheme="majorHAnsi" w:cstheme="majorHAnsi"/>
        </w:rPr>
        <w:t>outu</w:t>
      </w:r>
      <w:r w:rsidR="00966576">
        <w:rPr>
          <w:rFonts w:asciiTheme="majorHAnsi" w:hAnsiTheme="majorHAnsi" w:cstheme="majorHAnsi"/>
        </w:rPr>
        <w:t>bro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 w14:paraId="636FBAD0" w14:textId="77777777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 w14:paraId="505EB7EB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 w14:paraId="0393A09E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732164" w:rsidRPr="00D677F3" w:rsidP="00732164" w14:paraId="518578EE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 w14:paraId="087D30C2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 w14:paraId="45C44457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 w14:paraId="157E8A7C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 w14:paraId="32937876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 w14:paraId="5E81104C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 w14:paraId="185B0DC0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 w14:paraId="782B45EE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 w14:paraId="2F26AABB" w14:textId="77777777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 w14:paraId="797097BB" w14:textId="77777777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 w14:paraId="6F79CBEE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 w14:paraId="2E9151FD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 w14:paraId="18031960" w14:textId="77777777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 w14:paraId="49F12FC5" w14:textId="77777777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68C" w14:paraId="456B7CF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45568C" w14:paraId="47A5907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45568C" w:rsidRPr="0020165D" w14:paraId="35A4917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68C" w14:paraId="4FF361A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45568C" w14:paraId="46F5384D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68C" w:rsidP="00F81655" w14:paraId="1B756268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45568C" w:rsidRPr="0020165D" w:rsidP="008A537A" w14:paraId="014D02E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45568C" w:rsidRPr="00F733EC" w14:paraId="02743614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2121DB"/>
    <w:multiLevelType w:val="hybridMultilevel"/>
    <w:tmpl w:val="33140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06A57"/>
    <w:multiLevelType w:val="hybridMultilevel"/>
    <w:tmpl w:val="8DB49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508DA"/>
    <w:multiLevelType w:val="hybridMultilevel"/>
    <w:tmpl w:val="7A581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A20F5"/>
    <w:multiLevelType w:val="hybridMultilevel"/>
    <w:tmpl w:val="36E43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0"/>
  </w:num>
  <w:num w:numId="5">
    <w:abstractNumId w:val="23"/>
  </w:num>
  <w:num w:numId="6">
    <w:abstractNumId w:val="26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6"/>
  </w:num>
  <w:num w:numId="12">
    <w:abstractNumId w:val="17"/>
  </w:num>
  <w:num w:numId="13">
    <w:abstractNumId w:val="0"/>
  </w:num>
  <w:num w:numId="14">
    <w:abstractNumId w:val="3"/>
  </w:num>
  <w:num w:numId="15">
    <w:abstractNumId w:val="22"/>
  </w:num>
  <w:num w:numId="16">
    <w:abstractNumId w:val="14"/>
  </w:num>
  <w:num w:numId="17">
    <w:abstractNumId w:val="21"/>
  </w:num>
  <w:num w:numId="18">
    <w:abstractNumId w:val="5"/>
  </w:num>
  <w:num w:numId="19">
    <w:abstractNumId w:val="2"/>
  </w:num>
  <w:num w:numId="20">
    <w:abstractNumId w:val="20"/>
  </w:num>
  <w:num w:numId="21">
    <w:abstractNumId w:val="18"/>
  </w:num>
  <w:num w:numId="22">
    <w:abstractNumId w:val="24"/>
  </w:num>
  <w:num w:numId="23">
    <w:abstractNumId w:val="7"/>
  </w:num>
  <w:num w:numId="24">
    <w:abstractNumId w:val="19"/>
  </w:num>
  <w:num w:numId="25">
    <w:abstractNumId w:val="15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0239"/>
    <w:rsid w:val="00041A2D"/>
    <w:rsid w:val="000455CE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4A24"/>
    <w:rsid w:val="000F0AD7"/>
    <w:rsid w:val="000F4933"/>
    <w:rsid w:val="00126AE5"/>
    <w:rsid w:val="00150EF4"/>
    <w:rsid w:val="0015590E"/>
    <w:rsid w:val="00181506"/>
    <w:rsid w:val="00187FC6"/>
    <w:rsid w:val="001902E0"/>
    <w:rsid w:val="00192536"/>
    <w:rsid w:val="001931ED"/>
    <w:rsid w:val="001A3CE4"/>
    <w:rsid w:val="001B7303"/>
    <w:rsid w:val="001E6B03"/>
    <w:rsid w:val="001F7F66"/>
    <w:rsid w:val="0020165D"/>
    <w:rsid w:val="0020584A"/>
    <w:rsid w:val="00213987"/>
    <w:rsid w:val="00227E2C"/>
    <w:rsid w:val="00234376"/>
    <w:rsid w:val="00282E40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25F92"/>
    <w:rsid w:val="00346786"/>
    <w:rsid w:val="00371A69"/>
    <w:rsid w:val="003758D2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1669F"/>
    <w:rsid w:val="00417E23"/>
    <w:rsid w:val="00423EBB"/>
    <w:rsid w:val="00446FA1"/>
    <w:rsid w:val="0045568C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15D2F"/>
    <w:rsid w:val="005242B1"/>
    <w:rsid w:val="00524D00"/>
    <w:rsid w:val="00543E03"/>
    <w:rsid w:val="005559D9"/>
    <w:rsid w:val="0055728D"/>
    <w:rsid w:val="0057515A"/>
    <w:rsid w:val="00581E42"/>
    <w:rsid w:val="00584829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70C69"/>
    <w:rsid w:val="006834FE"/>
    <w:rsid w:val="00697874"/>
    <w:rsid w:val="006A54A9"/>
    <w:rsid w:val="006A762A"/>
    <w:rsid w:val="006B31CF"/>
    <w:rsid w:val="006D1946"/>
    <w:rsid w:val="006E14A1"/>
    <w:rsid w:val="006F48DD"/>
    <w:rsid w:val="007038AD"/>
    <w:rsid w:val="00732164"/>
    <w:rsid w:val="00741F3B"/>
    <w:rsid w:val="00753ABE"/>
    <w:rsid w:val="007556D8"/>
    <w:rsid w:val="0078178E"/>
    <w:rsid w:val="00783794"/>
    <w:rsid w:val="00783CF0"/>
    <w:rsid w:val="00784CD4"/>
    <w:rsid w:val="00785E1B"/>
    <w:rsid w:val="007911EF"/>
    <w:rsid w:val="007A08D1"/>
    <w:rsid w:val="007B6058"/>
    <w:rsid w:val="007C6029"/>
    <w:rsid w:val="00804434"/>
    <w:rsid w:val="0081335D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66576"/>
    <w:rsid w:val="0098102A"/>
    <w:rsid w:val="00983B49"/>
    <w:rsid w:val="009A2AFE"/>
    <w:rsid w:val="009C0AEC"/>
    <w:rsid w:val="009D4F58"/>
    <w:rsid w:val="009D56B8"/>
    <w:rsid w:val="009D6B7C"/>
    <w:rsid w:val="00A00E3E"/>
    <w:rsid w:val="00A12DD9"/>
    <w:rsid w:val="00A14E63"/>
    <w:rsid w:val="00A164DC"/>
    <w:rsid w:val="00A23604"/>
    <w:rsid w:val="00A2712E"/>
    <w:rsid w:val="00A27446"/>
    <w:rsid w:val="00A42DE1"/>
    <w:rsid w:val="00A43436"/>
    <w:rsid w:val="00A52713"/>
    <w:rsid w:val="00A637A2"/>
    <w:rsid w:val="00A672C0"/>
    <w:rsid w:val="00A92E38"/>
    <w:rsid w:val="00AD2770"/>
    <w:rsid w:val="00AE4353"/>
    <w:rsid w:val="00AE5858"/>
    <w:rsid w:val="00AF0C05"/>
    <w:rsid w:val="00AF3296"/>
    <w:rsid w:val="00AF4AC7"/>
    <w:rsid w:val="00B042D1"/>
    <w:rsid w:val="00B33FF5"/>
    <w:rsid w:val="00B45642"/>
    <w:rsid w:val="00B52F97"/>
    <w:rsid w:val="00B57090"/>
    <w:rsid w:val="00BA48C7"/>
    <w:rsid w:val="00BE41D6"/>
    <w:rsid w:val="00BE68FF"/>
    <w:rsid w:val="00BE6938"/>
    <w:rsid w:val="00BF2A6F"/>
    <w:rsid w:val="00BF47AD"/>
    <w:rsid w:val="00C00566"/>
    <w:rsid w:val="00C076DE"/>
    <w:rsid w:val="00C10154"/>
    <w:rsid w:val="00C3120C"/>
    <w:rsid w:val="00C31C89"/>
    <w:rsid w:val="00C56DF7"/>
    <w:rsid w:val="00C637ED"/>
    <w:rsid w:val="00C66AAE"/>
    <w:rsid w:val="00C74E3F"/>
    <w:rsid w:val="00C75973"/>
    <w:rsid w:val="00CA4349"/>
    <w:rsid w:val="00CC0BEC"/>
    <w:rsid w:val="00CC230E"/>
    <w:rsid w:val="00CC3E72"/>
    <w:rsid w:val="00CF288D"/>
    <w:rsid w:val="00D029F4"/>
    <w:rsid w:val="00D233F3"/>
    <w:rsid w:val="00D31303"/>
    <w:rsid w:val="00D33D19"/>
    <w:rsid w:val="00D41199"/>
    <w:rsid w:val="00D52DAE"/>
    <w:rsid w:val="00D543E6"/>
    <w:rsid w:val="00D635A7"/>
    <w:rsid w:val="00D66197"/>
    <w:rsid w:val="00D677F3"/>
    <w:rsid w:val="00D67961"/>
    <w:rsid w:val="00D735E2"/>
    <w:rsid w:val="00D75C8D"/>
    <w:rsid w:val="00D80A2E"/>
    <w:rsid w:val="00D81BDB"/>
    <w:rsid w:val="00D85ED2"/>
    <w:rsid w:val="00D91BA0"/>
    <w:rsid w:val="00D9258F"/>
    <w:rsid w:val="00DA7AB4"/>
    <w:rsid w:val="00DC32F0"/>
    <w:rsid w:val="00DD7EAE"/>
    <w:rsid w:val="00DE2A9A"/>
    <w:rsid w:val="00DF3AA1"/>
    <w:rsid w:val="00DF605F"/>
    <w:rsid w:val="00E11ECC"/>
    <w:rsid w:val="00E3543A"/>
    <w:rsid w:val="00E471F3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B7562"/>
    <w:rsid w:val="00EC5677"/>
    <w:rsid w:val="00ED7D93"/>
    <w:rsid w:val="00EE3AF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1748-26E2-4789-942A-CCE57A22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1449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4</cp:revision>
  <cp:lastPrinted>2025-02-18T14:53:00Z</cp:lastPrinted>
  <dcterms:created xsi:type="dcterms:W3CDTF">2025-10-01T13:54:00Z</dcterms:created>
  <dcterms:modified xsi:type="dcterms:W3CDTF">2025-10-02T14:25:00Z</dcterms:modified>
</cp:coreProperties>
</file>