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6DA" w:rsidRPr="00A056DA" w:rsidP="00A056DA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C72D1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 CONJUNTO</w:t>
      </w:r>
    </w:p>
    <w:p w:rsidR="00A056DA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A2038D" w:rsidRPr="00A95D3A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JUSTIÇA E REDAÇÃO</w:t>
      </w:r>
    </w:p>
    <w:p w:rsidR="00A2038D" w:rsidRPr="00A95D3A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A2038D" w:rsidRPr="00036DD8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FINANÇAS E ORÇAMENTO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A2038D" w:rsidRPr="00036DD8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A2038D" w:rsidRPr="0003179B" w:rsidP="00A2038D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A2038D" w:rsidP="00A2038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2038D" w:rsidP="00A2038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139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A2038D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A2038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AUTORIZA O MUNICÍPIO DE MOGI MIRIM, PELO PODER EXECUTIVO, A ALIENAR DE LOTES DE SUA PROPRIEDADE À COMPANHIA DE DESENVOLVIMENTO HABITACIONAL E URBANO DO ESTADO DE SÃO PAULO (CDHU), PARA O FIM DE IMPLANTAÇÃO DE LOTEAMENTO POPULAR, E DÁ OUTRAS </w:t>
      </w:r>
      <w:r w:rsidRPr="00A2038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A2038D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A2038D" w:rsidRPr="00FD5E1A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A2038D" w:rsidRPr="00036DD8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2038D" w:rsidRPr="0003179B" w:rsidP="00A2038D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A2038D" w:rsidRPr="00A2038D" w:rsidP="00D74E5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A2038D" w:rsidP="00A2038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139 de 2025,</w:t>
      </w:r>
      <w:r w:rsidRPr="00A2038D">
        <w:t xml:space="preserve"> 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autoria do Poder Executivo, busca a autorização legislativa para a </w:t>
      </w:r>
      <w:r w:rsidRPr="00A203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diversos lotes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pertencentes ao Município de Mogi Mirim para a </w:t>
      </w:r>
      <w:r w:rsidRPr="00A203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Companhia de Desenvolvimento Habitacional e Urbano do Estado de São Paulo (CDHU)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objeto específico da doação são os lotes do </w:t>
      </w:r>
      <w:r w:rsidRPr="00A203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Loteamento “MOGI MIRIM K”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descritos em detalhe no Anexo 1, 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otalizando lotes nas Quadras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A, 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C. A finalidade essencial desta alienação é a </w:t>
      </w:r>
      <w:r w:rsidRPr="00A203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implantação de um loteamento popular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2038D" w:rsidRPr="00A2038D" w:rsidP="00A2038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O texto do projeto prevê que: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doação será destinada exclusivamente para implantação de programa habitacional, conforme a Lei Estadual nº 905/1975;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CDHU arcará com as despesas de escritura e registro;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doação é irrevogável e irretratável, salvo desvio de finalidade;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assumirá responsabilidade pela evicção, caso terceiros reivindiquem os imóveis;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fornecerá certidões necessárias ao registro;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bens, enquanto no domínio da CDHU, ficam isentos de tributos municipais;</w:t>
      </w:r>
    </w:p>
    <w:p w:rsidR="00A2038D" w:rsidRPr="00A2038D" w:rsidP="00A2038D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após</w:t>
      </w: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transferência aos mutuários, a tributação municipal será normalmente aplicada.</w:t>
      </w:r>
    </w:p>
    <w:p w:rsidR="00A2038D" w:rsidRPr="00A2038D" w:rsidP="00A2038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sz w:val="24"/>
          <w:szCs w:val="24"/>
          <w:lang w:eastAsia="pt-BR"/>
        </w:rPr>
        <w:t>O Anexo 1 detalha 68 lotes (Matrículas 125.382 a 125.469, com algumas interrupções na numeração). Os valores venais individuais de 2025 somam um montante patrimonial considerável que o Município está disposto a ceder em prol da política habitacional.</w:t>
      </w:r>
    </w:p>
    <w:p w:rsidR="00A2038D" w:rsidRPr="00A2038D" w:rsidP="00A2038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proposta visa, portanto, assegurar área pública adequada para execução de projeto habitacional popular, alinhado às diretrizes nacionais e estaduais de habitação de interesse social.</w:t>
      </w:r>
      <w:r w:rsidR="00D74E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74E59" w:rsidRPr="00D74E59" w:rsidP="00D74E5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  <w:pict>
          <v:rect id="_x0000_i1027" style="width:0;height:1.5pt" o:hralign="center" o:hrstd="t" o:hr="t" fillcolor="#a0a0a0" stroked="f"/>
        </w:pict>
      </w:r>
    </w:p>
    <w:p w:rsidR="00D74E59" w:rsidRPr="00D74E59" w:rsidP="00D74E5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D74E59" w:rsidRPr="00D74E59" w:rsidP="00D74E5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Aspectos jurídicos e constitucionais</w:t>
      </w:r>
    </w:p>
    <w:p w:rsidR="00D74E59" w:rsidP="00D74E5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iniciativa encontra respaldo na Constituição Federal (art. 6º – direito à moradia; art. 30, I e VIII – competência municipal para legislar sobre interesse local e ordenamento territorial) e na Lei Orgânica do Município.</w:t>
      </w:r>
    </w:p>
    <w:p w:rsidR="00D74E59" w:rsidRPr="00D74E59" w:rsidP="00D74E5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há vício de iniciativa, pois a doação de bens públicos de uso dominical é prerrogativa do Executivo, cabendo à Câmara apenas autorizar, conforme exige o art. 17, inciso I, alínea “b”, da Lei Federal nº 8.666/93 (Lei de Licitações e Contratos, aplicável subsidiariamente).</w:t>
      </w:r>
    </w:p>
    <w:p w:rsidR="00D74E59" w:rsidRPr="00D63C54" w:rsidP="00D74E59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exigência de destinação específica (habitação popular) e a previsão de reversão em caso de descumprimento asseguram a </w:t>
      </w: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função social da propriedade pública.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Aspectos urbanísticos e sociais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doação de lotes ao CDHU permite a implantação de conjunto habitacional planejado, ampliando a oferta de moradias a famílias de baixa renda e contribuindo para a </w:t>
      </w:r>
      <w:r w:rsidRPr="00D63C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redução do déficit habitacional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municipal.</w:t>
      </w:r>
    </w:p>
    <w:p w:rsidR="00D74E59" w:rsidRPr="00D74E59" w:rsidP="00D63C54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medida também favorece:</w:t>
      </w:r>
    </w:p>
    <w:p w:rsidR="00D74E59" w:rsidRPr="00D74E59" w:rsidP="00D74E5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regularização</w:t>
      </w: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fundiária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ordenação do território;</w:t>
      </w:r>
    </w:p>
    <w:p w:rsidR="00D74E59" w:rsidRPr="00D74E59" w:rsidP="00D74E5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integração</w:t>
      </w: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social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ao proporcionar acesso à moradia formalizada;</w:t>
      </w:r>
    </w:p>
    <w:p w:rsidR="00D74E59" w:rsidRPr="00D74E59" w:rsidP="00D74E5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infraestrutura</w:t>
      </w: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urbana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pois a implantação de loteamentos habitacionais demanda obras de saneamento, pavimentação, iluminação e equipamentos públicos.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Destaca-se ainda que a parceria com a CDHU garante </w:t>
      </w:r>
      <w:r w:rsidRPr="008E28F9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know-how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técnico e jurídico, assegurando que o empreendimento atenda padrões de qualidade e sustentabilidade.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Aspectos financeiros e patrimoniais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doação implica a renúncia do patrimônio imobiliário representado pelos lotes, cujo valor venal total é significativo. Contudo, a contrapartida é o investimento estadual em habitação social e a redução do déficit habitacional, o que justifica a alienação.</w:t>
      </w:r>
      <w:r w:rsidR="00FA37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Portanto, e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mbora o Município esteja doando patrimônio avaliado em valores venais expressivos, não há impacto negativo direto para os cofres públicos, considerando que:</w:t>
      </w:r>
    </w:p>
    <w:p w:rsidR="00D74E59" w:rsidRPr="00D74E59" w:rsidP="00D74E5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CDHU assume todos os custos cartorários;</w:t>
      </w:r>
    </w:p>
    <w:p w:rsidR="00D74E59" w:rsidRPr="00D74E59" w:rsidP="00D74E5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isenção tributária é temporária, cessando após a alienação aos mutuários;</w:t>
      </w:r>
    </w:p>
    <w:p w:rsidR="00D74E59" w:rsidRPr="00D74E59" w:rsidP="00D74E5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implantação do conjunto habitacional incrementará a arrecadação futura do Município (IPTU, ISS sobre obras, movimentação econômica local).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disso, a destinação social e habitacional supera a lógica meramente patrimonialista, cumprindo o dever constitucional de dar </w:t>
      </w: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função social aos bens públicos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Aspectos de interesse público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proposta atende a um </w:t>
      </w: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interesse social qualificado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qual seja, o direito à moradia digna, e contribui para políticas públicas de habitação previstas no Estatuto da Cidade (Lei Federal nº 10.257/2001), que orienta os Municípios a promover o acesso à habitação como instrumento de inclusão social.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termos de impacto coletivo, o projeto contribuirá para:</w:t>
      </w:r>
    </w:p>
    <w:p w:rsidR="00D74E59" w:rsidRPr="00D74E59" w:rsidP="00D74E5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melhorar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indicadores sociais e de qualidade de vida;</w:t>
      </w:r>
    </w:p>
    <w:p w:rsidR="00D74E59" w:rsidRPr="00D74E59" w:rsidP="00D74E5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reduzir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vulnerabilidade de famílias em áreas de risco ou ocupações precárias;</w:t>
      </w:r>
    </w:p>
    <w:p w:rsidR="00D74E59" w:rsidRPr="00D74E59" w:rsidP="00D74E5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fomentar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desenvolvimento urbano equilibrado.</w:t>
      </w:r>
    </w:p>
    <w:p w:rsidR="00D74E59" w:rsidRPr="00D74E59" w:rsidP="00D63C54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Assim, o mérito da proposta é </w:t>
      </w: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altamente positivo e socialmente relevante</w:t>
      </w:r>
      <w:r w:rsidRPr="00D74E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D74E59" w:rsidP="00D74E5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D63C54" w:rsidRPr="00D63C54" w:rsidP="00D63C5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A2038D" w:rsidRPr="00D63C54" w:rsidP="00D63C5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minuciosa, não se fazem necessárias alterações, emendas ou substitutivos ao texto, que já contempla os mecanismos de proteção ao interesse público (destinação específica, cláusula de reversão e obrigações cartorárias da CDHU).</w:t>
      </w:r>
    </w:p>
    <w:p w:rsidR="00A2038D" w:rsidRPr="0003179B" w:rsidP="00A203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8E28F9" w:rsidP="008E28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28F9" w:rsidRPr="008E28F9" w:rsidP="008E28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8E28F9" w:rsidP="008E28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28F9" w:rsidRPr="008E28F9" w:rsidP="008E2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vista do exposto, as Comissões de Justiça e Redação</w:t>
      </w:r>
      <w:r w:rsidR="00B322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Obras, Serviços Públicos e Atividades Privadas</w:t>
      </w:r>
      <w:r w:rsidR="00B322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Finanças e Orçamento </w:t>
      </w:r>
      <w:r w:rsidRPr="0003179B" w:rsidR="00FA37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manifestam-se, </w:t>
      </w:r>
      <w:r w:rsidRPr="00DA473D" w:rsidR="00FA37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 unanimidade, favoravelmente à aprovação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Projeto de Lei nº 139/2025, por se tratar de medida:</w:t>
      </w:r>
    </w:p>
    <w:p w:rsidR="008E28F9" w:rsidRPr="008E28F9" w:rsidP="008E2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E28F9" w:rsidRPr="008E28F9" w:rsidP="008E28F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juridicamente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adequada,</w:t>
      </w:r>
    </w:p>
    <w:p w:rsidR="008E28F9" w:rsidRPr="008E28F9" w:rsidP="008E28F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urbanisticamente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planejada,</w:t>
      </w:r>
    </w:p>
    <w:p w:rsidR="008E28F9" w:rsidRPr="008E28F9" w:rsidP="008E28F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financeiramente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sustentável,</w:t>
      </w:r>
    </w:p>
    <w:p w:rsidR="008E28F9" w:rsidRPr="008E28F9" w:rsidP="008E28F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8E28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socialmente imprescindível ao enfrentamento do déficit habitacional no Município de Mogi Mirim.</w:t>
      </w:r>
    </w:p>
    <w:p w:rsidR="00A2038D" w:rsidRPr="002717DE" w:rsidP="00A203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38D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FA379F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A2038D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DA473D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A473D" w:rsidRPr="002717DE" w:rsidP="00DA473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Justiça e Redação</w:t>
      </w:r>
    </w:p>
    <w:p w:rsidR="00DA473D" w:rsidRPr="002717DE" w:rsidP="00DA473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DA473D" w:rsidRPr="002717DE" w:rsidP="00DA473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Wagner Ricardo Pereira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DA473D" w:rsidRPr="002717DE" w:rsidP="00DA473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 w:rsidRPr="00DA473D" w:rsidR="006A1D3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João Victor Gasparini</w:t>
      </w:r>
      <w:r w:rsidR="006A1D3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DA473D" w:rsidP="00DA473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 w:rsidR="006A1D3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 w:rsidR="006A1D3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DA473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A2038D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2038D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A2038D" w:rsidRPr="002717DE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A2038D" w:rsidRPr="002717DE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A2038D" w:rsidRPr="002717DE" w:rsidP="00A2038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A2038D" w:rsidP="00DA473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A2038D" w:rsidRPr="002717DE" w:rsidP="00A2038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A2038D" w:rsidP="00A2038D">
      <w:p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2038D" w:rsidP="00A2038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DA47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02 de ou</w:t>
      </w:r>
      <w:r w:rsidR="00AB26B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tu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A2038D" w:rsidP="00A2038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2038D" w:rsidP="00A2038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2038D" w:rsidRPr="00DC1D64" w:rsidP="00A2038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A2038D" w:rsidRPr="002717DE" w:rsidP="00A2038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A2038D" w:rsidRPr="002717DE" w:rsidP="00A2038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A2038D" w:rsidP="00A2038D">
      <w:pPr>
        <w:spacing w:line="360" w:lineRule="auto"/>
      </w:pPr>
    </w:p>
    <w:p w:rsidR="00DA473D" w:rsidP="00DA473D">
      <w:r>
        <w:pict>
          <v:rect id="_x0000_i1032" style="width:0;height:1.5pt" o:hralign="center" o:hrstd="t" o:hr="t" fillcolor="#a0a0a0" stroked="f"/>
        </w:pict>
      </w:r>
    </w:p>
    <w:p w:rsidR="00DA473D" w:rsidRPr="00DA473D" w:rsidP="00DA473D">
      <w:pPr>
        <w:pStyle w:val="Heading3"/>
        <w:spacing w:line="360" w:lineRule="auto"/>
        <w:rPr>
          <w:sz w:val="24"/>
          <w:szCs w:val="24"/>
        </w:rPr>
      </w:pPr>
      <w:r w:rsidRPr="00DA473D">
        <w:rPr>
          <w:rStyle w:val="Strong"/>
          <w:b/>
          <w:bCs/>
          <w:sz w:val="24"/>
          <w:szCs w:val="24"/>
        </w:rPr>
        <w:t>REFERÊNCIAS</w:t>
      </w:r>
    </w:p>
    <w:p w:rsidR="00DA473D" w:rsidRPr="00DA473D" w:rsidP="00DA473D">
      <w:pPr>
        <w:pStyle w:val="NormalWeb"/>
        <w:numPr>
          <w:ilvl w:val="0"/>
          <w:numId w:val="8"/>
        </w:numPr>
        <w:spacing w:line="360" w:lineRule="auto"/>
      </w:pPr>
      <w:r w:rsidRPr="00DA473D">
        <w:t xml:space="preserve">Constituição Federal de 1988, </w:t>
      </w:r>
      <w:r w:rsidRPr="00DA473D">
        <w:t>arts</w:t>
      </w:r>
      <w:r w:rsidRPr="00DA473D">
        <w:t>. 6º e 30.</w:t>
      </w:r>
    </w:p>
    <w:p w:rsidR="00DA473D" w:rsidRPr="00DA473D" w:rsidP="00DA473D">
      <w:pPr>
        <w:pStyle w:val="NormalWeb"/>
        <w:numPr>
          <w:ilvl w:val="0"/>
          <w:numId w:val="8"/>
        </w:numPr>
        <w:spacing w:line="360" w:lineRule="auto"/>
      </w:pPr>
      <w:r w:rsidRPr="00DA473D">
        <w:t>Lei Orgânica do Município de Mogi Mirim.</w:t>
      </w:r>
    </w:p>
    <w:p w:rsidR="00DA473D" w:rsidRPr="00DA473D" w:rsidP="00DA473D">
      <w:pPr>
        <w:pStyle w:val="NormalWeb"/>
        <w:numPr>
          <w:ilvl w:val="0"/>
          <w:numId w:val="8"/>
        </w:numPr>
        <w:spacing w:line="360" w:lineRule="auto"/>
      </w:pPr>
      <w:r w:rsidRPr="00DA473D">
        <w:t>Lei Federal nº 8.666/1993 (alienação de bens públicos).</w:t>
      </w:r>
    </w:p>
    <w:p w:rsidR="00DA473D" w:rsidRPr="00DA473D" w:rsidP="00DA473D">
      <w:pPr>
        <w:pStyle w:val="NormalWeb"/>
        <w:numPr>
          <w:ilvl w:val="0"/>
          <w:numId w:val="8"/>
        </w:numPr>
        <w:spacing w:line="360" w:lineRule="auto"/>
      </w:pPr>
      <w:r w:rsidRPr="00DA473D">
        <w:t>Lei Federal nº 10.257/2001 (Estatuto da Cidade).</w:t>
      </w:r>
    </w:p>
    <w:p w:rsidR="00B322B8" w:rsidRPr="00B322B8" w:rsidP="00B322B8">
      <w:pPr>
        <w:pStyle w:val="NormalWeb"/>
        <w:numPr>
          <w:ilvl w:val="0"/>
          <w:numId w:val="8"/>
        </w:numPr>
        <w:spacing w:line="360" w:lineRule="auto"/>
      </w:pPr>
      <w:r w:rsidRPr="00DA473D">
        <w:t>Lei Estadual nº 905/1975 (criação e atribuições da CDHU).</w:t>
      </w:r>
      <w:r>
        <w:br w:type="page"/>
      </w:r>
    </w:p>
    <w:p w:rsidR="00B322B8" w:rsidRPr="002B48CC" w:rsidP="0019538E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>S</w:t>
      </w:r>
      <w:r w:rsidRPr="002B48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COMISSÕES</w:t>
      </w:r>
      <w:r w:rsidRPr="002B48C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JUSTIÇA E REDAÇÃO;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PRIVADAS; E FINANÇAS E ORÇAMENTO</w:t>
      </w:r>
      <w:r w:rsidRPr="002B48CC">
        <w:rPr>
          <w:b/>
          <w:sz w:val="24"/>
          <w:szCs w:val="24"/>
        </w:rPr>
        <w:t xml:space="preserve"> REFERENTE AO </w:t>
      </w:r>
      <w:r>
        <w:rPr>
          <w:b/>
          <w:sz w:val="24"/>
          <w:szCs w:val="24"/>
        </w:rPr>
        <w:t>PROJETO DE LEI Nº 139</w:t>
      </w:r>
      <w:r w:rsidRPr="002B48CC">
        <w:rPr>
          <w:b/>
          <w:sz w:val="24"/>
          <w:szCs w:val="24"/>
        </w:rPr>
        <w:t xml:space="preserve">/2025 QUE </w:t>
      </w:r>
      <w:r w:rsidRPr="0019538E" w:rsidR="0019538E">
        <w:rPr>
          <w:b/>
          <w:i/>
          <w:sz w:val="24"/>
          <w:szCs w:val="24"/>
        </w:rPr>
        <w:t xml:space="preserve">“AUTORIZA O MUNICÍPIO DE MOGI MIRIM, PELO PODER EXECUTIVO, A ALIENAR DE LOTES DE SUA PROPRIEDADE À COMPANHIA DE DESENVOLVIMENTO HABITACIONAL E URBANO DO ESTADO DE SÃO PAULO (CDHU), PARA O FIM DE IMPLANTAÇÃO DE LOTEAMENTO POPULAR, E DÁ OUTRAS </w:t>
      </w:r>
      <w:r w:rsidRPr="0019538E" w:rsidR="0019538E">
        <w:rPr>
          <w:b/>
          <w:i/>
          <w:sz w:val="24"/>
          <w:szCs w:val="24"/>
        </w:rPr>
        <w:t>PROVIDÊNCIAS.”</w:t>
      </w:r>
      <w:r w:rsidRPr="002B48CC">
        <w:rPr>
          <w:iCs/>
          <w:color w:val="000000"/>
          <w:sz w:val="24"/>
          <w:szCs w:val="24"/>
        </w:rPr>
        <w:tab/>
      </w:r>
    </w:p>
    <w:p w:rsidR="00B322B8" w:rsidRPr="002B48CC" w:rsidP="0019538E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B322B8" w:rsidRPr="002B48CC" w:rsidP="0019538E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>s</w:t>
      </w:r>
      <w:r w:rsidR="0019538E">
        <w:rPr>
          <w:rFonts w:eastAsia="Arial"/>
          <w:color w:val="000000"/>
          <w:sz w:val="24"/>
          <w:szCs w:val="24"/>
        </w:rPr>
        <w:t xml:space="preserve"> 35,</w:t>
      </w:r>
      <w:r>
        <w:rPr>
          <w:rFonts w:eastAsia="Arial"/>
          <w:color w:val="000000"/>
          <w:sz w:val="24"/>
          <w:szCs w:val="24"/>
        </w:rPr>
        <w:t xml:space="preserve"> 37 e</w:t>
      </w:r>
      <w:r w:rsidRPr="002B48CC">
        <w:rPr>
          <w:rFonts w:eastAsia="Arial"/>
          <w:color w:val="000000"/>
          <w:sz w:val="24"/>
          <w:szCs w:val="24"/>
        </w:rPr>
        <w:t xml:space="preserve"> 38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Obras, Serviços Públicos e Atividades Privadas, </w:t>
      </w:r>
      <w:r>
        <w:rPr>
          <w:rFonts w:eastAsia="Arial"/>
          <w:color w:val="000000"/>
          <w:sz w:val="24"/>
          <w:szCs w:val="24"/>
        </w:rPr>
        <w:t xml:space="preserve">conjuntamente com a Comissão de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B322B8" w:rsidRPr="002B48CC" w:rsidP="00B322B8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RPr="002B48CC" w:rsidP="00B322B8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19538E">
        <w:rPr>
          <w:b/>
          <w:iCs/>
          <w:sz w:val="24"/>
          <w:szCs w:val="24"/>
        </w:rPr>
        <w:t>ões, 02</w:t>
      </w:r>
      <w:r w:rsidRPr="002B48CC">
        <w:rPr>
          <w:b/>
          <w:iCs/>
          <w:sz w:val="24"/>
          <w:szCs w:val="24"/>
        </w:rPr>
        <w:t xml:space="preserve"> de </w:t>
      </w:r>
      <w:r w:rsidR="0019538E">
        <w:rPr>
          <w:b/>
          <w:iCs/>
          <w:sz w:val="24"/>
          <w:szCs w:val="24"/>
        </w:rPr>
        <w:t>outu</w:t>
      </w:r>
      <w:r>
        <w:rPr>
          <w:b/>
          <w:iCs/>
          <w:sz w:val="24"/>
          <w:szCs w:val="24"/>
        </w:rPr>
        <w:t>bro</w:t>
      </w:r>
      <w:r w:rsidRPr="002B48CC">
        <w:rPr>
          <w:b/>
          <w:iCs/>
          <w:sz w:val="24"/>
          <w:szCs w:val="24"/>
        </w:rPr>
        <w:t xml:space="preserve"> de 2025.</w:t>
      </w:r>
    </w:p>
    <w:p w:rsidR="00B322B8" w:rsidRPr="002B48CC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RPr="002B48CC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RPr="002B48CC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 w:rsidR="0019538E">
        <w:rPr>
          <w:b/>
          <w:iCs/>
          <w:sz w:val="24"/>
          <w:szCs w:val="24"/>
          <w:u w:val="single"/>
        </w:rPr>
        <w:t>JUSTIÇA E REDAÇÃO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B322B8" w:rsidRPr="002B48CC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RPr="002B48CC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19538E" w:rsidR="0019538E">
        <w:rPr>
          <w:b/>
          <w:iCs/>
          <w:sz w:val="24"/>
          <w:szCs w:val="24"/>
        </w:rPr>
        <w:t>Wagner Ricardo Pereira</w:t>
      </w:r>
    </w:p>
    <w:p w:rsidR="00B322B8" w:rsidRPr="002B48CC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B322B8" w:rsidRPr="002B48CC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B322B8" w:rsidRPr="002B48CC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 w:rsidR="006A1D34">
        <w:rPr>
          <w:b/>
          <w:iCs/>
          <w:sz w:val="24"/>
          <w:szCs w:val="24"/>
        </w:rPr>
        <w:t>João Victor Gasparini</w:t>
      </w:r>
      <w:bookmarkStart w:id="0" w:name="_GoBack"/>
      <w:bookmarkEnd w:id="0"/>
    </w:p>
    <w:p w:rsidR="00B322B8" w:rsidRPr="002B48CC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B322B8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538E" w:rsidRPr="002B48CC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B322B8" w:rsidRPr="002B48CC" w:rsidP="00B322B8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P="00B322B8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 w:rsidR="006A1D34">
        <w:rPr>
          <w:b/>
          <w:iCs/>
          <w:sz w:val="24"/>
          <w:szCs w:val="24"/>
        </w:rPr>
        <w:t>Wilians</w:t>
      </w:r>
      <w:r w:rsidRPr="006A1D34" w:rsidR="006A1D34">
        <w:rPr>
          <w:b/>
          <w:iCs/>
          <w:sz w:val="24"/>
          <w:szCs w:val="24"/>
        </w:rPr>
        <w:t xml:space="preserve"> Mendes de Oliveira</w:t>
      </w:r>
    </w:p>
    <w:p w:rsidR="00B322B8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9538E" w:rsidP="0019538E">
      <w:pPr>
        <w:pStyle w:val="Standard"/>
        <w:spacing w:line="276" w:lineRule="auto"/>
        <w:rPr>
          <w:iCs/>
          <w:sz w:val="24"/>
          <w:szCs w:val="24"/>
        </w:rPr>
      </w:pPr>
    </w:p>
    <w:p w:rsidR="0019538E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DD5514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19538E" w:rsidRPr="002B48CC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19538E" w:rsidRPr="002B48CC" w:rsidP="0019538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P="0019538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19538E" w:rsidRPr="002B48CC" w:rsidP="0019538E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19538E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19538E" w:rsidRPr="002B48CC" w:rsidP="0019538E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19538E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538E" w:rsidRPr="002B48CC" w:rsidP="0019538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19538E" w:rsidP="0019538E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9538E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B322B8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19538E" w:rsidP="00B322B8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B322B8" w:rsidRPr="0063159B" w:rsidP="00B322B8">
      <w:pPr>
        <w:pStyle w:val="Textbody"/>
        <w:spacing w:line="240" w:lineRule="auto"/>
        <w:ind w:left="360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B322B8" w:rsidP="00B322B8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</w:rPr>
      </w:pPr>
    </w:p>
    <w:p w:rsidR="0019538E" w:rsidRPr="0063159B" w:rsidP="00B322B8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</w:rPr>
      </w:pPr>
    </w:p>
    <w:p w:rsidR="00B322B8" w:rsidRPr="0063159B" w:rsidP="00B322B8">
      <w:pPr>
        <w:pStyle w:val="Standard"/>
        <w:ind w:left="360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B322B8" w:rsidRPr="0063159B" w:rsidP="00B322B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B322B8" w:rsidRPr="0063159B" w:rsidP="00B322B8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B322B8" w:rsidP="00B322B8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19538E" w:rsidRPr="0063159B" w:rsidP="00B322B8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B322B8" w:rsidRPr="0063159B" w:rsidP="00B322B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B322B8" w:rsidRPr="0063159B" w:rsidP="00B322B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B322B8" w:rsidP="00B322B8">
      <w:pPr>
        <w:pStyle w:val="Standard"/>
        <w:ind w:left="360"/>
        <w:rPr>
          <w:b/>
          <w:iCs/>
          <w:sz w:val="24"/>
          <w:szCs w:val="24"/>
        </w:rPr>
      </w:pPr>
    </w:p>
    <w:p w:rsidR="0019538E" w:rsidRPr="0063159B" w:rsidP="00B322B8">
      <w:pPr>
        <w:pStyle w:val="Standard"/>
        <w:ind w:left="360"/>
        <w:rPr>
          <w:b/>
          <w:iCs/>
          <w:sz w:val="24"/>
          <w:szCs w:val="24"/>
        </w:rPr>
      </w:pPr>
    </w:p>
    <w:p w:rsidR="00B322B8" w:rsidRPr="0063159B" w:rsidP="00B322B8">
      <w:pPr>
        <w:pStyle w:val="Standard"/>
        <w:ind w:left="360"/>
        <w:rPr>
          <w:b/>
          <w:iCs/>
          <w:sz w:val="24"/>
          <w:szCs w:val="24"/>
        </w:rPr>
      </w:pPr>
    </w:p>
    <w:p w:rsidR="00B322B8" w:rsidRPr="0063159B" w:rsidP="00B322B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B322B8" w:rsidRPr="002C441E" w:rsidP="00B322B8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ED129F" w:rsidP="00B322B8">
      <w:pPr>
        <w:pStyle w:val="NormalWeb"/>
        <w:spacing w:line="360" w:lineRule="auto"/>
        <w:ind w:left="720"/>
      </w:pPr>
    </w:p>
    <w:sectPr w:rsidSect="00D74E59">
      <w:headerReference w:type="default" r:id="rId4"/>
      <w:footerReference w:type="default" r:id="rId5"/>
      <w:pgSz w:w="11906" w:h="16838"/>
      <w:pgMar w:top="1440" w:right="1080" w:bottom="993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2D282B"/>
    <w:multiLevelType w:val="multilevel"/>
    <w:tmpl w:val="7032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C5182"/>
    <w:multiLevelType w:val="multilevel"/>
    <w:tmpl w:val="63E0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8536B5"/>
    <w:multiLevelType w:val="hybridMultilevel"/>
    <w:tmpl w:val="F98882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32C7E"/>
    <w:multiLevelType w:val="multilevel"/>
    <w:tmpl w:val="1D1E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6477B7"/>
    <w:multiLevelType w:val="multilevel"/>
    <w:tmpl w:val="0EC4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FA78B9"/>
    <w:multiLevelType w:val="multilevel"/>
    <w:tmpl w:val="6C9E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1373F2"/>
    <w:multiLevelType w:val="multilevel"/>
    <w:tmpl w:val="B06C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8D"/>
    <w:rsid w:val="0003179B"/>
    <w:rsid w:val="00036DD8"/>
    <w:rsid w:val="00071746"/>
    <w:rsid w:val="0019538E"/>
    <w:rsid w:val="00207F61"/>
    <w:rsid w:val="002717DE"/>
    <w:rsid w:val="002B48CC"/>
    <w:rsid w:val="002C441E"/>
    <w:rsid w:val="005F4E7D"/>
    <w:rsid w:val="006042DF"/>
    <w:rsid w:val="0063159B"/>
    <w:rsid w:val="006A1D34"/>
    <w:rsid w:val="006A53BC"/>
    <w:rsid w:val="00740ED2"/>
    <w:rsid w:val="008E28F9"/>
    <w:rsid w:val="00A056DA"/>
    <w:rsid w:val="00A2038D"/>
    <w:rsid w:val="00A95D3A"/>
    <w:rsid w:val="00AB26B1"/>
    <w:rsid w:val="00B322B8"/>
    <w:rsid w:val="00C72D1D"/>
    <w:rsid w:val="00D63C54"/>
    <w:rsid w:val="00D74E59"/>
    <w:rsid w:val="00DA473D"/>
    <w:rsid w:val="00DC1D64"/>
    <w:rsid w:val="00DD5514"/>
    <w:rsid w:val="00ED129F"/>
    <w:rsid w:val="00FA379F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12D43E-EC40-45B4-87B9-E42850E4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8D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74E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rsid w:val="00A20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203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2038D"/>
  </w:style>
  <w:style w:type="paragraph" w:styleId="Footer">
    <w:name w:val="footer"/>
    <w:basedOn w:val="Normal"/>
    <w:link w:val="RodapChar"/>
    <w:uiPriority w:val="99"/>
    <w:unhideWhenUsed/>
    <w:rsid w:val="00A203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2038D"/>
  </w:style>
  <w:style w:type="paragraph" w:styleId="NoSpacing">
    <w:name w:val="No Spacing"/>
    <w:uiPriority w:val="1"/>
    <w:qFormat/>
    <w:rsid w:val="00A2038D"/>
    <w:pPr>
      <w:spacing w:after="0" w:line="240" w:lineRule="auto"/>
    </w:pPr>
  </w:style>
  <w:style w:type="character" w:customStyle="1" w:styleId="Ttulo3Char">
    <w:name w:val="Título 3 Char"/>
    <w:basedOn w:val="DefaultParagraphFont"/>
    <w:link w:val="Heading3"/>
    <w:uiPriority w:val="9"/>
    <w:rsid w:val="00A2038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A2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43">
    <w:name w:val="citation-243"/>
    <w:basedOn w:val="DefaultParagraphFont"/>
    <w:rsid w:val="00A2038D"/>
  </w:style>
  <w:style w:type="character" w:customStyle="1" w:styleId="citation-242">
    <w:name w:val="citation-242"/>
    <w:basedOn w:val="DefaultParagraphFont"/>
    <w:rsid w:val="00A2038D"/>
  </w:style>
  <w:style w:type="character" w:customStyle="1" w:styleId="citation-241">
    <w:name w:val="citation-241"/>
    <w:basedOn w:val="DefaultParagraphFont"/>
    <w:rsid w:val="00A2038D"/>
  </w:style>
  <w:style w:type="character" w:customStyle="1" w:styleId="citation-240">
    <w:name w:val="citation-240"/>
    <w:basedOn w:val="DefaultParagraphFont"/>
    <w:rsid w:val="00A2038D"/>
  </w:style>
  <w:style w:type="paragraph" w:styleId="ListParagraph">
    <w:name w:val="List Paragraph"/>
    <w:basedOn w:val="Normal"/>
    <w:uiPriority w:val="34"/>
    <w:qFormat/>
    <w:rsid w:val="00A2038D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D74E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DA473D"/>
    <w:rPr>
      <w:b/>
      <w:bCs/>
    </w:rPr>
  </w:style>
  <w:style w:type="character" w:customStyle="1" w:styleId="relative">
    <w:name w:val="relative"/>
    <w:basedOn w:val="DefaultParagraphFont"/>
    <w:rsid w:val="00DA473D"/>
  </w:style>
  <w:style w:type="paragraph" w:customStyle="1" w:styleId="Standard">
    <w:name w:val="Standard"/>
    <w:rsid w:val="00B322B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B322B8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1265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9</cp:revision>
  <dcterms:created xsi:type="dcterms:W3CDTF">2025-10-01T18:16:00Z</dcterms:created>
  <dcterms:modified xsi:type="dcterms:W3CDTF">2025-10-02T15:24:00Z</dcterms:modified>
</cp:coreProperties>
</file>