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230C8" w:rsidRPr="00D230C8" w:rsidP="00D230C8" w14:paraId="2DD95430" w14:textId="77777777">
      <w:pPr>
        <w:spacing w:before="240" w:after="240"/>
        <w:jc w:val="both"/>
        <w:rPr>
          <w:sz w:val="24"/>
          <w:szCs w:val="24"/>
        </w:rPr>
      </w:pPr>
      <w:r w:rsidRPr="00D230C8">
        <w:rPr>
          <w:rFonts w:ascii="Calibri" w:hAnsi="Calibri" w:cs="Calibri"/>
          <w:b/>
          <w:bCs/>
          <w:sz w:val="24"/>
          <w:szCs w:val="24"/>
          <w:u w:val="single"/>
          <w:shd w:val="clear" w:color="auto" w:fill="FFFFFF"/>
        </w:rPr>
        <w:t>Parecer Nº 1 ao Projeto de Decreto Legislativo Nº 32/2025</w:t>
      </w:r>
      <w:r w:rsidRPr="00D230C8">
        <w:rPr>
          <w:rFonts w:ascii="Calibri" w:hAnsi="Calibri" w:cs="Calibri"/>
          <w:b/>
          <w:bCs/>
          <w:sz w:val="24"/>
          <w:szCs w:val="24"/>
          <w:u w:val="single"/>
          <w:shd w:val="clear" w:color="auto" w:fill="FFFFFF"/>
        </w:rPr>
        <w:t>Parecer Nº 1 ao Projeto de Decreto Legislativo Nº 32/2025</w:t>
      </w:r>
      <w:bookmarkStart w:id="0" w:name="_GoBack"/>
      <w:r w:rsidRPr="00D230C8">
        <w:rPr>
          <w:rFonts w:ascii="Calibri" w:hAnsi="Calibri" w:cs="Calibri"/>
          <w:b/>
          <w:bCs/>
          <w:sz w:val="24"/>
          <w:szCs w:val="24"/>
          <w:u w:val="single"/>
          <w:shd w:val="clear" w:color="auto" w:fill="FFFFFF"/>
        </w:rPr>
        <w:t>PARECER DA COMISSÃO PERMANENTE DE FINANÇAS E ORÇAMENTO, FAVORÁVEL À APROVAÇÃO DAS CONTAS DO PREFEITO MUNICIPAL DR. PAULO DE OLIVEIRA E SILVA, PARA O EXERCÍCIO DE 2023.</w:t>
      </w:r>
    </w:p>
    <w:bookmarkEnd w:id="0"/>
    <w:p w:rsidR="003D7CEA" w:rsidP="008E0A0F" w14:paraId="5702C6BB" w14:textId="77777777">
      <w:pPr>
        <w:spacing w:before="240" w:after="240"/>
        <w:contextualSpacing/>
        <w:rPr>
          <w:rFonts w:ascii="Calibri" w:hAnsi="Calibri" w:cs="Calibri"/>
          <w:b/>
          <w:bCs/>
          <w:sz w:val="24"/>
          <w:szCs w:val="24"/>
          <w:u w:val="single"/>
        </w:rPr>
      </w:pPr>
    </w:p>
    <w:p w:rsidR="008E0A0F" w:rsidP="008E0A0F" w14:paraId="20EBE272" w14:textId="77777777">
      <w:pPr>
        <w:spacing w:before="240" w:after="240"/>
        <w:contextualSpacing/>
        <w:rPr>
          <w:rFonts w:ascii="Calibri" w:hAnsi="Calibri" w:cs="Calibri"/>
          <w:b/>
          <w:bCs/>
          <w:sz w:val="24"/>
          <w:szCs w:val="24"/>
          <w:u w:val="single"/>
        </w:rPr>
      </w:pPr>
      <w:r>
        <w:rPr>
          <w:rFonts w:ascii="Calibri" w:hAnsi="Calibri" w:cs="Calibri"/>
          <w:b/>
          <w:bCs/>
          <w:sz w:val="24"/>
          <w:szCs w:val="24"/>
          <w:u w:val="single"/>
        </w:rPr>
        <w:t>PROCESSO CÂMARA Nº 111 DE 2025.</w:t>
      </w:r>
    </w:p>
    <w:p w:rsidR="003D7CEA" w:rsidP="003D7CEA" w14:paraId="32BF16E0" w14:textId="77777777">
      <w:pPr>
        <w:spacing w:before="240" w:after="240"/>
        <w:contextualSpacing/>
        <w:rPr>
          <w:rFonts w:ascii="Calibri" w:hAnsi="Calibri" w:cs="Calibri"/>
          <w:b/>
          <w:bCs/>
          <w:sz w:val="24"/>
          <w:szCs w:val="24"/>
          <w:u w:val="single"/>
        </w:rPr>
      </w:pPr>
    </w:p>
    <w:p w:rsidR="003D7CEA" w:rsidP="003D7CEA" w14:paraId="6C53B6E9" w14:textId="77777777">
      <w:pPr>
        <w:spacing w:before="240" w:after="240"/>
        <w:contextualSpacing/>
        <w:rPr>
          <w:rFonts w:ascii="Calibri" w:hAnsi="Calibri" w:cs="Calibri"/>
          <w:b/>
          <w:bCs/>
          <w:sz w:val="24"/>
          <w:szCs w:val="24"/>
          <w:u w:val="single"/>
        </w:rPr>
      </w:pPr>
      <w:r>
        <w:rPr>
          <w:rFonts w:ascii="Calibri" w:hAnsi="Calibri" w:cs="Calibri"/>
          <w:b/>
          <w:bCs/>
          <w:sz w:val="24"/>
          <w:szCs w:val="24"/>
          <w:u w:val="single"/>
        </w:rPr>
        <w:t>PROCESSO REFERÊNCIA </w:t>
      </w:r>
      <w:r w:rsidRPr="00D230C8" w:rsidR="00D230C8">
        <w:rPr>
          <w:rFonts w:ascii="Calibri" w:hAnsi="Calibri" w:cs="Calibri"/>
          <w:b/>
          <w:bCs/>
          <w:sz w:val="24"/>
          <w:szCs w:val="24"/>
          <w:u w:val="single"/>
        </w:rPr>
        <w:t>TC Nº 004541.989.23-1</w:t>
      </w:r>
    </w:p>
    <w:p w:rsidR="003D7CEA" w:rsidP="003D7CEA" w14:paraId="3A2D63D3" w14:textId="77777777">
      <w:pPr>
        <w:spacing w:before="240" w:after="240"/>
        <w:contextualSpacing/>
        <w:rPr>
          <w:rFonts w:ascii="Calibri" w:hAnsi="Calibri" w:cs="Calibri"/>
          <w:b/>
          <w:bCs/>
          <w:sz w:val="24"/>
          <w:szCs w:val="24"/>
          <w:u w:val="single"/>
        </w:rPr>
      </w:pPr>
    </w:p>
    <w:p w:rsidR="00D230C8" w:rsidP="003D7CEA" w14:paraId="5540969E" w14:textId="629CF344">
      <w:pPr>
        <w:spacing w:before="240" w:after="240"/>
        <w:contextualSpacing/>
        <w:rPr>
          <w:rFonts w:ascii="Calibri" w:hAnsi="Calibri" w:cs="Calibri"/>
          <w:b/>
          <w:bCs/>
          <w:sz w:val="24"/>
          <w:szCs w:val="24"/>
          <w:u w:val="single"/>
        </w:rPr>
      </w:pPr>
      <w:r w:rsidRPr="00D230C8">
        <w:rPr>
          <w:rFonts w:ascii="Calibri" w:hAnsi="Calibri" w:cs="Calibri"/>
          <w:b/>
          <w:bCs/>
          <w:sz w:val="24"/>
          <w:szCs w:val="24"/>
          <w:u w:val="single"/>
        </w:rPr>
        <w:t>Da Instrução</w:t>
      </w:r>
    </w:p>
    <w:p w:rsidR="003D7CEA" w:rsidP="003D7CEA" w14:paraId="67DD6D55" w14:textId="77777777">
      <w:pPr>
        <w:spacing w:before="240" w:after="240"/>
        <w:contextualSpacing/>
        <w:rPr>
          <w:rFonts w:ascii="Calibri" w:hAnsi="Calibri" w:cs="Calibri"/>
          <w:b/>
          <w:bCs/>
          <w:sz w:val="24"/>
          <w:szCs w:val="24"/>
          <w:u w:val="single"/>
        </w:rPr>
      </w:pPr>
    </w:p>
    <w:p w:rsidR="003D7CEA" w:rsidRPr="00D230C8" w:rsidP="003D7CEA" w14:paraId="34B84D8A" w14:textId="77777777">
      <w:pPr>
        <w:spacing w:before="240" w:after="240"/>
        <w:contextualSpacing/>
        <w:rPr>
          <w:rFonts w:ascii="Calibri" w:hAnsi="Calibri" w:cs="Calibri"/>
          <w:b/>
          <w:bCs/>
          <w:sz w:val="24"/>
          <w:szCs w:val="24"/>
          <w:u w:val="single"/>
        </w:rPr>
      </w:pPr>
    </w:p>
    <w:p w:rsidR="00D230C8" w:rsidRPr="00D230C8" w:rsidP="00D230C8" w14:paraId="29DF0158" w14:textId="77777777">
      <w:pPr>
        <w:spacing w:before="240"/>
        <w:ind w:firstLine="720"/>
        <w:jc w:val="both"/>
        <w:rPr>
          <w:sz w:val="24"/>
          <w:szCs w:val="24"/>
        </w:rPr>
      </w:pPr>
      <w:r w:rsidRPr="00D230C8">
        <w:rPr>
          <w:rFonts w:ascii="Calibri" w:hAnsi="Calibri" w:cs="Calibri"/>
          <w:sz w:val="24"/>
          <w:szCs w:val="24"/>
        </w:rPr>
        <w:t>O processo em epígrafe se refere ao encaminhamento a esta Casa de Leis da manifestação final do Egrégio Tribunal de Contas do Estado de São Paulo - TCE-SP, referente ao julgamento técnico da Prestação de Contas do Poder Executivo Municipal durante o exercício de 2023, segundo ano da gestão do Prefeito Dr. Paulo de Oliveira e Silva, ordenador das despesas para o mandato de 2021-2024. </w:t>
      </w:r>
    </w:p>
    <w:p w:rsidR="00D230C8" w:rsidP="00D230C8" w14:paraId="10033075" w14:textId="77777777">
      <w:pPr>
        <w:spacing w:before="240"/>
        <w:jc w:val="both"/>
        <w:rPr>
          <w:rFonts w:ascii="Calibri" w:hAnsi="Calibri" w:cs="Calibri"/>
          <w:b/>
          <w:bCs/>
          <w:sz w:val="24"/>
          <w:szCs w:val="24"/>
          <w:u w:val="single"/>
        </w:rPr>
      </w:pPr>
      <w:r w:rsidRPr="00D230C8">
        <w:rPr>
          <w:rFonts w:ascii="Calibri" w:hAnsi="Calibri" w:cs="Calibri"/>
          <w:b/>
          <w:bCs/>
          <w:sz w:val="24"/>
          <w:szCs w:val="24"/>
          <w:u w:val="single"/>
        </w:rPr>
        <w:t>Das Considerações Iniciais</w:t>
      </w:r>
    </w:p>
    <w:p w:rsidR="003D7CEA" w:rsidRPr="00D230C8" w:rsidP="00D230C8" w14:paraId="1D83840C" w14:textId="77777777">
      <w:pPr>
        <w:spacing w:before="240"/>
        <w:jc w:val="both"/>
        <w:rPr>
          <w:sz w:val="24"/>
          <w:szCs w:val="24"/>
        </w:rPr>
      </w:pPr>
    </w:p>
    <w:p w:rsidR="00D230C8" w:rsidRPr="00D230C8" w:rsidP="00D230C8" w14:paraId="6566B352" w14:textId="18A21365">
      <w:pPr>
        <w:spacing w:before="240"/>
        <w:ind w:firstLine="720"/>
        <w:jc w:val="both"/>
        <w:rPr>
          <w:sz w:val="24"/>
          <w:szCs w:val="24"/>
        </w:rPr>
      </w:pPr>
      <w:r w:rsidRPr="00D230C8">
        <w:rPr>
          <w:rFonts w:ascii="Calibri" w:hAnsi="Calibri" w:cs="Calibri"/>
          <w:sz w:val="24"/>
          <w:szCs w:val="24"/>
        </w:rPr>
        <w:t>O referido processo foi autuado nest</w:t>
      </w:r>
      <w:r w:rsidR="008E0A0F">
        <w:rPr>
          <w:rFonts w:ascii="Calibri" w:hAnsi="Calibri" w:cs="Calibri"/>
          <w:sz w:val="24"/>
          <w:szCs w:val="24"/>
        </w:rPr>
        <w:t>a Casa de Leis aos 15 </w:t>
      </w:r>
      <w:r w:rsidRPr="00D230C8">
        <w:rPr>
          <w:rFonts w:ascii="Calibri" w:hAnsi="Calibri" w:cs="Calibri"/>
          <w:sz w:val="24"/>
          <w:szCs w:val="24"/>
        </w:rPr>
        <w:t xml:space="preserve">(quinze) dias do mês de </w:t>
      </w:r>
      <w:r w:rsidRPr="00D230C8" w:rsidR="008E0A0F">
        <w:rPr>
          <w:rFonts w:ascii="Calibri" w:hAnsi="Calibri" w:cs="Calibri"/>
          <w:sz w:val="24"/>
          <w:szCs w:val="24"/>
        </w:rPr>
        <w:t>julho</w:t>
      </w:r>
      <w:r w:rsidRPr="00D230C8">
        <w:rPr>
          <w:rFonts w:ascii="Calibri" w:hAnsi="Calibri" w:cs="Calibri"/>
          <w:sz w:val="24"/>
          <w:szCs w:val="24"/>
        </w:rPr>
        <w:t xml:space="preserve"> do ano de 2025, ficando por força do Art. 33 da Constituição Federal de 1.988, combinado com Art. nº 59 da Lei Orgânica de Mogi Mirim - LOM, disponível para acesso e discussão da população Mogimiriana pelo prazo de 60 dias corridos, que se findou em 19 (dezenove) de </w:t>
      </w:r>
      <w:r w:rsidRPr="00D230C8" w:rsidR="008E0A0F">
        <w:rPr>
          <w:rFonts w:ascii="Calibri" w:hAnsi="Calibri" w:cs="Calibri"/>
          <w:sz w:val="24"/>
          <w:szCs w:val="24"/>
        </w:rPr>
        <w:t>setembro</w:t>
      </w:r>
      <w:r w:rsidRPr="00D230C8">
        <w:rPr>
          <w:rFonts w:ascii="Calibri" w:hAnsi="Calibri" w:cs="Calibri"/>
          <w:sz w:val="24"/>
          <w:szCs w:val="24"/>
        </w:rPr>
        <w:t xml:space="preserve"> de 2025. Após o prazo citado, conforme preconiza os Arts. 219 a 223 do Regimento Interno da Câmara Municipal, o processo foi encaminhado para esta Comissão Permanente de Finanças e Orçamento para análise das contas, observância e avaliação dos apontamentos e manifestações do TCE-SP, oitivas, e qualquer ação que a comissão considerar relevante para emissão do parecer e consequente decisão acerca da aprovação, ou reprovação das contas.</w:t>
      </w:r>
    </w:p>
    <w:p w:rsidR="00D230C8" w:rsidRPr="00D230C8" w:rsidP="00D230C8" w14:paraId="2FFA412F" w14:textId="77777777">
      <w:pPr>
        <w:spacing w:before="240"/>
        <w:ind w:firstLine="720"/>
        <w:jc w:val="both"/>
        <w:rPr>
          <w:sz w:val="24"/>
          <w:szCs w:val="24"/>
        </w:rPr>
      </w:pPr>
      <w:r w:rsidRPr="00D230C8">
        <w:rPr>
          <w:rFonts w:ascii="Calibri" w:hAnsi="Calibri" w:cs="Calibri"/>
          <w:sz w:val="24"/>
          <w:szCs w:val="24"/>
        </w:rPr>
        <w:t> Válido informar que a fiscalização “</w:t>
      </w:r>
      <w:r w:rsidRPr="00D230C8">
        <w:rPr>
          <w:rFonts w:ascii="Calibri" w:hAnsi="Calibri" w:cs="Calibri"/>
          <w:i/>
          <w:iCs/>
          <w:sz w:val="24"/>
          <w:szCs w:val="24"/>
        </w:rPr>
        <w:t xml:space="preserve">in loco” </w:t>
      </w:r>
      <w:r w:rsidRPr="00D230C8">
        <w:rPr>
          <w:rFonts w:ascii="Calibri" w:hAnsi="Calibri" w:cs="Calibri"/>
          <w:sz w:val="24"/>
          <w:szCs w:val="24"/>
        </w:rPr>
        <w:t>do Tribunal de Contas foi realizada pela UR-19 - Unidade Regional de Mogi Guaçu. Conforme artigo 1º, § 1º da Resolução nº 01/2011, as contas foram objeto de Acompanhamento Quadrimestral, sendo que as ocorrências da fiscalização foram anotadas nos relatórios, objetivando oportunizar à administração a prevenção e correção dos rumos das ações que se apresentassem com tendências ao descumprimento dos objetivos estabelecidos, dentro do próprio período.</w:t>
      </w:r>
    </w:p>
    <w:p w:rsidR="00D230C8" w:rsidRPr="00D230C8" w:rsidP="00D230C8" w14:paraId="2EA36D3C" w14:textId="77777777">
      <w:pPr>
        <w:spacing w:before="240"/>
        <w:ind w:firstLine="720"/>
        <w:jc w:val="both"/>
        <w:rPr>
          <w:sz w:val="24"/>
          <w:szCs w:val="24"/>
        </w:rPr>
      </w:pPr>
      <w:r w:rsidRPr="00D230C8">
        <w:rPr>
          <w:rFonts w:ascii="Calibri" w:hAnsi="Calibri" w:cs="Calibri"/>
          <w:sz w:val="24"/>
          <w:szCs w:val="24"/>
        </w:rPr>
        <w:t xml:space="preserve"> No caso em pauta, adiantamos que o TCE-SP se manifestou pela emissão do parecer prévio favorável à </w:t>
      </w:r>
      <w:r w:rsidRPr="00D230C8">
        <w:rPr>
          <w:rFonts w:ascii="Calibri" w:hAnsi="Calibri" w:cs="Calibri"/>
          <w:b/>
          <w:bCs/>
          <w:sz w:val="24"/>
          <w:szCs w:val="24"/>
        </w:rPr>
        <w:t>aprovação</w:t>
      </w:r>
      <w:r w:rsidRPr="00D230C8">
        <w:rPr>
          <w:rFonts w:ascii="Calibri" w:hAnsi="Calibri" w:cs="Calibri"/>
          <w:sz w:val="24"/>
          <w:szCs w:val="24"/>
        </w:rPr>
        <w:t xml:space="preserve"> das contas do exercício 2023.</w:t>
      </w:r>
    </w:p>
    <w:p w:rsidR="00D230C8" w:rsidP="00D230C8" w14:paraId="4EA2635F" w14:textId="77777777">
      <w:pPr>
        <w:rPr>
          <w:sz w:val="24"/>
          <w:szCs w:val="24"/>
        </w:rPr>
      </w:pPr>
    </w:p>
    <w:p w:rsidR="003D7CEA" w:rsidP="00D230C8" w14:paraId="24F7471D" w14:textId="77777777">
      <w:pPr>
        <w:rPr>
          <w:sz w:val="24"/>
          <w:szCs w:val="24"/>
        </w:rPr>
      </w:pPr>
    </w:p>
    <w:p w:rsidR="003D7CEA" w:rsidP="00D230C8" w14:paraId="3D6FEEB0" w14:textId="77777777">
      <w:pPr>
        <w:rPr>
          <w:sz w:val="24"/>
          <w:szCs w:val="24"/>
        </w:rPr>
      </w:pPr>
    </w:p>
    <w:p w:rsidR="003D7CEA" w:rsidP="00D230C8" w14:paraId="0A24B6E6" w14:textId="77777777">
      <w:pPr>
        <w:rPr>
          <w:sz w:val="24"/>
          <w:szCs w:val="24"/>
        </w:rPr>
      </w:pPr>
    </w:p>
    <w:p w:rsidR="003D7CEA" w:rsidP="00D230C8" w14:paraId="3D894AAE" w14:textId="77777777">
      <w:pPr>
        <w:rPr>
          <w:sz w:val="24"/>
          <w:szCs w:val="24"/>
        </w:rPr>
      </w:pPr>
    </w:p>
    <w:p w:rsidR="00D230C8" w:rsidRPr="00D230C8" w:rsidP="00D230C8" w14:paraId="46CB25C7" w14:textId="77777777">
      <w:pPr>
        <w:spacing w:before="240"/>
        <w:jc w:val="both"/>
        <w:rPr>
          <w:sz w:val="24"/>
          <w:szCs w:val="24"/>
        </w:rPr>
      </w:pPr>
      <w:r w:rsidRPr="00D230C8">
        <w:rPr>
          <w:rFonts w:ascii="Calibri" w:hAnsi="Calibri" w:cs="Calibri"/>
          <w:b/>
          <w:bCs/>
          <w:sz w:val="24"/>
          <w:szCs w:val="24"/>
          <w:u w:val="single"/>
        </w:rPr>
        <w:t>Fontes de Informação</w:t>
      </w:r>
    </w:p>
    <w:p w:rsidR="00D230C8" w:rsidRPr="00D230C8" w:rsidP="00D230C8" w14:paraId="7A751D34" w14:textId="77777777">
      <w:pPr>
        <w:spacing w:before="240"/>
        <w:ind w:firstLine="720"/>
        <w:jc w:val="both"/>
        <w:rPr>
          <w:sz w:val="24"/>
          <w:szCs w:val="24"/>
        </w:rPr>
      </w:pPr>
      <w:r w:rsidRPr="00D230C8">
        <w:rPr>
          <w:rFonts w:ascii="Calibri" w:hAnsi="Calibri" w:cs="Calibri"/>
          <w:sz w:val="24"/>
          <w:szCs w:val="24"/>
        </w:rPr>
        <w:t>Este parecer foi elaborado tendo como embasamento as manifestações do Tribunal de Contas do Estado de São Paulo - TCE/SP, Ministério Público de Contas - MPC, Assessoria Técnico-Jurídica do TCE e manifestações da Prefeitura Municipal de Mogi Mirim - PMMM.</w:t>
      </w:r>
    </w:p>
    <w:p w:rsidR="00D230C8" w:rsidP="00D230C8" w14:paraId="79EE52E4" w14:textId="77777777">
      <w:pPr>
        <w:rPr>
          <w:sz w:val="24"/>
          <w:szCs w:val="24"/>
        </w:rPr>
      </w:pPr>
    </w:p>
    <w:p w:rsidR="00D230C8" w:rsidRPr="00D230C8" w:rsidP="00D230C8" w14:paraId="46EEF089" w14:textId="77777777">
      <w:pPr>
        <w:spacing w:before="240" w:after="240"/>
        <w:rPr>
          <w:sz w:val="24"/>
          <w:szCs w:val="24"/>
        </w:rPr>
      </w:pPr>
      <w:r w:rsidRPr="00D230C8">
        <w:rPr>
          <w:rFonts w:ascii="Calibri" w:hAnsi="Calibri" w:cs="Calibri"/>
          <w:b/>
          <w:bCs/>
          <w:sz w:val="24"/>
          <w:szCs w:val="24"/>
          <w:u w:val="single"/>
        </w:rPr>
        <w:t>Do Histórico Processual</w:t>
      </w:r>
    </w:p>
    <w:p w:rsidR="00D230C8" w:rsidRPr="00D230C8" w:rsidP="00D230C8" w14:paraId="578E8D69" w14:textId="77777777">
      <w:pPr>
        <w:spacing w:before="240"/>
        <w:ind w:firstLine="700"/>
        <w:jc w:val="both"/>
        <w:rPr>
          <w:sz w:val="24"/>
          <w:szCs w:val="24"/>
        </w:rPr>
      </w:pPr>
      <w:r w:rsidRPr="00D230C8">
        <w:rPr>
          <w:rFonts w:ascii="Calibri" w:hAnsi="Calibri" w:cs="Calibri"/>
          <w:sz w:val="24"/>
          <w:szCs w:val="24"/>
        </w:rPr>
        <w:t>Para melhor entendimento do caminho processual do tema, segue breve resumo das principais manifestações:</w:t>
      </w:r>
    </w:p>
    <w:p w:rsidR="00D230C8" w:rsidRPr="00D230C8" w:rsidP="00541A0A" w14:paraId="12D3E697" w14:textId="77777777">
      <w:pPr>
        <w:numPr>
          <w:ilvl w:val="0"/>
          <w:numId w:val="1"/>
        </w:numPr>
        <w:spacing w:before="240"/>
        <w:jc w:val="both"/>
        <w:textAlignment w:val="baseline"/>
        <w:rPr>
          <w:rFonts w:ascii="Arial" w:hAnsi="Arial" w:cs="Arial"/>
          <w:sz w:val="22"/>
          <w:szCs w:val="22"/>
        </w:rPr>
      </w:pPr>
      <w:r w:rsidRPr="00D230C8">
        <w:rPr>
          <w:rFonts w:ascii="Calibri" w:hAnsi="Calibri" w:cs="Calibri"/>
          <w:sz w:val="24"/>
          <w:szCs w:val="24"/>
        </w:rPr>
        <w:t>06/11/2024 - Manifestação da Assessoria Técnico-Jurídica do TCE/SP favorável à aprovação das contas;</w:t>
      </w:r>
    </w:p>
    <w:p w:rsidR="00D230C8" w:rsidRPr="00D230C8" w:rsidP="00541A0A" w14:paraId="6641E27B" w14:textId="77777777">
      <w:pPr>
        <w:numPr>
          <w:ilvl w:val="0"/>
          <w:numId w:val="1"/>
        </w:numPr>
        <w:jc w:val="both"/>
        <w:textAlignment w:val="baseline"/>
        <w:rPr>
          <w:rFonts w:ascii="Arial" w:hAnsi="Arial" w:cs="Arial"/>
          <w:sz w:val="22"/>
          <w:szCs w:val="22"/>
        </w:rPr>
      </w:pPr>
      <w:r w:rsidRPr="00D230C8">
        <w:rPr>
          <w:rFonts w:ascii="Calibri" w:hAnsi="Calibri" w:cs="Calibri"/>
          <w:sz w:val="24"/>
          <w:szCs w:val="24"/>
        </w:rPr>
        <w:t>28/10/2023 - Manifestação do Ministério Público de Contas opinando pela desaprovação das contas, indicando ainda algumas providências que a administração deve adotar.</w:t>
      </w:r>
    </w:p>
    <w:p w:rsidR="00D230C8" w:rsidRPr="00D230C8" w:rsidP="00541A0A" w14:paraId="089A684C" w14:textId="77777777">
      <w:pPr>
        <w:numPr>
          <w:ilvl w:val="0"/>
          <w:numId w:val="1"/>
        </w:numPr>
        <w:spacing w:after="240"/>
        <w:jc w:val="both"/>
        <w:textAlignment w:val="baseline"/>
        <w:rPr>
          <w:rFonts w:ascii="Arial" w:hAnsi="Arial" w:cs="Arial"/>
          <w:sz w:val="22"/>
          <w:szCs w:val="22"/>
        </w:rPr>
      </w:pPr>
      <w:r w:rsidRPr="00D230C8">
        <w:rPr>
          <w:rFonts w:ascii="Calibri" w:hAnsi="Calibri" w:cs="Calibri"/>
          <w:sz w:val="24"/>
          <w:szCs w:val="24"/>
        </w:rPr>
        <w:t xml:space="preserve">18/03/2025 - Sessão Ordinária da E. Segunda Câmara do Tribunal de Contas do Estado de São Paulo, ocasião onde os Conselheiros votaram em concordância com o relatório elaborado pelo Relator, Conselheiro Dr. Sidney </w:t>
      </w:r>
      <w:r w:rsidRPr="00D230C8">
        <w:rPr>
          <w:rFonts w:ascii="Calibri" w:hAnsi="Calibri" w:cs="Calibri"/>
          <w:sz w:val="24"/>
          <w:szCs w:val="24"/>
        </w:rPr>
        <w:t>Estanislau</w:t>
      </w:r>
      <w:r w:rsidRPr="00D230C8">
        <w:rPr>
          <w:rFonts w:ascii="Calibri" w:hAnsi="Calibri" w:cs="Calibri"/>
          <w:sz w:val="24"/>
          <w:szCs w:val="24"/>
        </w:rPr>
        <w:t xml:space="preserve"> Beraldo, emitindo o respectivo Parecer Prévio Favorável à aprovação das contas da Prefeitura Municipal, relativas ao exercício de 2023.</w:t>
      </w:r>
    </w:p>
    <w:p w:rsidR="00D230C8" w:rsidRPr="00D230C8" w:rsidP="00D230C8" w14:paraId="5CF0AFAA" w14:textId="77777777">
      <w:pPr>
        <w:spacing w:before="240"/>
        <w:jc w:val="both"/>
        <w:rPr>
          <w:sz w:val="24"/>
          <w:szCs w:val="24"/>
        </w:rPr>
      </w:pPr>
      <w:r w:rsidRPr="00D230C8">
        <w:rPr>
          <w:rFonts w:ascii="Calibri" w:hAnsi="Calibri" w:cs="Calibri"/>
          <w:b/>
          <w:bCs/>
          <w:sz w:val="24"/>
          <w:szCs w:val="24"/>
          <w:u w:val="single"/>
        </w:rPr>
        <w:t>Da Avaliação dos Indicadores</w:t>
      </w:r>
    </w:p>
    <w:p w:rsidR="00D230C8" w:rsidP="00D230C8" w14:paraId="188FF7D5" w14:textId="77777777">
      <w:pPr>
        <w:spacing w:before="240"/>
        <w:ind w:firstLine="700"/>
        <w:jc w:val="both"/>
        <w:rPr>
          <w:rFonts w:ascii="Calibri" w:hAnsi="Calibri" w:cs="Calibri"/>
          <w:sz w:val="24"/>
          <w:szCs w:val="24"/>
        </w:rPr>
      </w:pPr>
      <w:r w:rsidRPr="00D230C8">
        <w:rPr>
          <w:rFonts w:ascii="Calibri" w:hAnsi="Calibri" w:cs="Calibri"/>
          <w:sz w:val="24"/>
          <w:szCs w:val="24"/>
        </w:rPr>
        <w:t>Inicialmente, reproduziremos abaixo o resumo geral dos principais indicadores do Tribunal, em comparação aos observados nos exercícios anteriores, para melhor visualização da evolução da avaliação:</w:t>
      </w:r>
    </w:p>
    <w:p w:rsidR="008E0A0F" w:rsidP="00D230C8" w14:paraId="7BEE37BB" w14:textId="77777777">
      <w:pPr>
        <w:spacing w:before="240"/>
        <w:ind w:firstLine="700"/>
        <w:jc w:val="both"/>
        <w:rPr>
          <w:rFonts w:ascii="Calibri" w:hAnsi="Calibri" w:cs="Calibri"/>
          <w:sz w:val="24"/>
          <w:szCs w:val="24"/>
        </w:rPr>
      </w:pPr>
    </w:p>
    <w:tbl>
      <w:tblPr>
        <w:tblW w:w="8955" w:type="dxa"/>
        <w:tblCellMar>
          <w:top w:w="15" w:type="dxa"/>
          <w:left w:w="15" w:type="dxa"/>
          <w:bottom w:w="15" w:type="dxa"/>
          <w:right w:w="15" w:type="dxa"/>
        </w:tblCellMar>
        <w:tblLook w:val="04A0"/>
      </w:tblPr>
      <w:tblGrid>
        <w:gridCol w:w="2886"/>
        <w:gridCol w:w="1173"/>
        <w:gridCol w:w="1173"/>
        <w:gridCol w:w="1543"/>
        <w:gridCol w:w="2180"/>
      </w:tblGrid>
      <w:tr w14:paraId="5F97C0FA" w14:textId="77777777" w:rsidTr="003D7CEA">
        <w:tblPrEx>
          <w:tblW w:w="8955" w:type="dxa"/>
          <w:tblCellMar>
            <w:top w:w="15" w:type="dxa"/>
            <w:left w:w="15" w:type="dxa"/>
            <w:bottom w:w="15" w:type="dxa"/>
            <w:right w:w="15" w:type="dxa"/>
          </w:tblCellMar>
          <w:tblLook w:val="04A0"/>
        </w:tblPrEx>
        <w:trPr>
          <w:trHeight w:val="315"/>
        </w:trPr>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6FCF5339" w14:textId="77777777">
            <w:pPr>
              <w:spacing w:before="240" w:after="240"/>
              <w:jc w:val="center"/>
              <w:rPr>
                <w:sz w:val="24"/>
                <w:szCs w:val="24"/>
              </w:rPr>
            </w:pPr>
            <w:r w:rsidRPr="00D230C8">
              <w:rPr>
                <w:rFonts w:ascii="Calibri" w:hAnsi="Calibri" w:cs="Calibri"/>
                <w:b/>
                <w:bCs/>
                <w:sz w:val="24"/>
                <w:szCs w:val="24"/>
              </w:rPr>
              <w:t>Indicadores </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7FB89FA0" w14:textId="77777777">
            <w:pPr>
              <w:spacing w:before="240" w:after="240"/>
              <w:jc w:val="center"/>
              <w:rPr>
                <w:sz w:val="24"/>
                <w:szCs w:val="24"/>
              </w:rPr>
            </w:pPr>
            <w:r w:rsidRPr="00D230C8">
              <w:rPr>
                <w:rFonts w:ascii="Calibri" w:hAnsi="Calibri" w:cs="Calibri"/>
                <w:b/>
                <w:bCs/>
                <w:sz w:val="24"/>
                <w:szCs w:val="24"/>
              </w:rPr>
              <w:t>2020</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68D0A8F2" w14:textId="77777777">
            <w:pPr>
              <w:spacing w:before="240" w:after="240"/>
              <w:jc w:val="center"/>
              <w:rPr>
                <w:sz w:val="24"/>
                <w:szCs w:val="24"/>
              </w:rPr>
            </w:pPr>
            <w:r w:rsidRPr="00D230C8">
              <w:rPr>
                <w:rFonts w:ascii="Calibri" w:hAnsi="Calibri" w:cs="Calibri"/>
                <w:b/>
                <w:bCs/>
                <w:sz w:val="24"/>
                <w:szCs w:val="24"/>
              </w:rPr>
              <w:t>2021</w:t>
            </w:r>
          </w:p>
        </w:tc>
        <w:tc>
          <w:tcPr>
            <w:tcW w:w="1543"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27EE3471" w14:textId="77777777">
            <w:pPr>
              <w:spacing w:before="240" w:after="240"/>
              <w:jc w:val="center"/>
              <w:rPr>
                <w:sz w:val="24"/>
                <w:szCs w:val="24"/>
              </w:rPr>
            </w:pPr>
            <w:r w:rsidRPr="00D230C8">
              <w:rPr>
                <w:rFonts w:ascii="Calibri" w:hAnsi="Calibri" w:cs="Calibri"/>
                <w:b/>
                <w:bCs/>
                <w:sz w:val="24"/>
                <w:szCs w:val="24"/>
              </w:rPr>
              <w:t>2022</w:t>
            </w:r>
          </w:p>
        </w:tc>
        <w:tc>
          <w:tcPr>
            <w:tcW w:w="2180"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785E956F" w14:textId="77777777">
            <w:pPr>
              <w:spacing w:before="240" w:after="240"/>
              <w:jc w:val="center"/>
              <w:rPr>
                <w:sz w:val="24"/>
                <w:szCs w:val="24"/>
              </w:rPr>
            </w:pPr>
            <w:r w:rsidRPr="00D230C8">
              <w:rPr>
                <w:rFonts w:ascii="Calibri" w:hAnsi="Calibri" w:cs="Calibri"/>
                <w:b/>
                <w:bCs/>
                <w:sz w:val="24"/>
                <w:szCs w:val="24"/>
              </w:rPr>
              <w:t>2023</w:t>
            </w:r>
          </w:p>
        </w:tc>
      </w:tr>
      <w:tr w14:paraId="694A8E15" w14:textId="77777777" w:rsidTr="003D7CEA">
        <w:tblPrEx>
          <w:tblW w:w="8955" w:type="dxa"/>
          <w:tblCellMar>
            <w:top w:w="15" w:type="dxa"/>
            <w:left w:w="15" w:type="dxa"/>
            <w:bottom w:w="15" w:type="dxa"/>
            <w:right w:w="15" w:type="dxa"/>
          </w:tblCellMar>
          <w:tblLook w:val="04A0"/>
        </w:tblPrEx>
        <w:trPr>
          <w:trHeight w:val="594"/>
        </w:trPr>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5BD3282F" w14:textId="77777777">
            <w:pPr>
              <w:spacing w:before="240" w:after="240"/>
              <w:rPr>
                <w:sz w:val="24"/>
                <w:szCs w:val="24"/>
              </w:rPr>
            </w:pPr>
            <w:r w:rsidRPr="00D230C8">
              <w:rPr>
                <w:rFonts w:ascii="Calibri" w:hAnsi="Calibri" w:cs="Calibri"/>
                <w:sz w:val="24"/>
                <w:szCs w:val="24"/>
              </w:rPr>
              <w:t>IEG-M</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4EB98C75" w14:textId="77777777">
            <w:pPr>
              <w:spacing w:before="240" w:after="240"/>
              <w:jc w:val="center"/>
              <w:rPr>
                <w:sz w:val="24"/>
                <w:szCs w:val="24"/>
              </w:rPr>
            </w:pPr>
            <w:r w:rsidRPr="00D230C8">
              <w:rPr>
                <w:rFonts w:ascii="Calibri" w:hAnsi="Calibri" w:cs="Calibri"/>
                <w:sz w:val="24"/>
                <w:szCs w:val="24"/>
              </w:rPr>
              <w:t>C+</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3F4E483C" w14:textId="77777777">
            <w:pPr>
              <w:spacing w:before="240" w:after="240"/>
              <w:jc w:val="center"/>
              <w:rPr>
                <w:sz w:val="24"/>
                <w:szCs w:val="24"/>
              </w:rPr>
            </w:pPr>
            <w:r w:rsidRPr="00D230C8">
              <w:rPr>
                <w:rFonts w:ascii="Calibri" w:hAnsi="Calibri" w:cs="Calibri"/>
                <w:sz w:val="24"/>
                <w:szCs w:val="24"/>
              </w:rPr>
              <w:t>C</w:t>
            </w:r>
          </w:p>
        </w:tc>
        <w:tc>
          <w:tcPr>
            <w:tcW w:w="1543"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3935F692" w14:textId="77777777">
            <w:pPr>
              <w:spacing w:before="240" w:after="240"/>
              <w:jc w:val="center"/>
              <w:rPr>
                <w:sz w:val="24"/>
                <w:szCs w:val="24"/>
              </w:rPr>
            </w:pPr>
            <w:r w:rsidRPr="00D230C8">
              <w:rPr>
                <w:rFonts w:ascii="Calibri" w:hAnsi="Calibri" w:cs="Calibri"/>
                <w:sz w:val="24"/>
                <w:szCs w:val="24"/>
              </w:rPr>
              <w:t>C</w:t>
            </w:r>
          </w:p>
        </w:tc>
        <w:tc>
          <w:tcPr>
            <w:tcW w:w="2180"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66411188" w14:textId="77777777">
            <w:pPr>
              <w:spacing w:before="240" w:after="240"/>
              <w:jc w:val="center"/>
              <w:rPr>
                <w:sz w:val="24"/>
                <w:szCs w:val="24"/>
              </w:rPr>
            </w:pPr>
            <w:r w:rsidRPr="00D230C8">
              <w:rPr>
                <w:rFonts w:ascii="Calibri" w:hAnsi="Calibri" w:cs="Calibri"/>
                <w:sz w:val="24"/>
                <w:szCs w:val="24"/>
              </w:rPr>
              <w:t>C</w:t>
            </w:r>
            <w:r w:rsidRPr="00D230C8">
              <w:rPr>
                <w:rFonts w:ascii="Calibri" w:hAnsi="Calibri" w:cs="Calibri"/>
                <w:sz w:val="24"/>
                <w:szCs w:val="24"/>
              </w:rPr>
              <w:t>+  ↑</w:t>
            </w:r>
            <w:r w:rsidRPr="00D230C8">
              <w:rPr>
                <w:rFonts w:ascii="Calibri" w:hAnsi="Calibri" w:cs="Calibri"/>
                <w:sz w:val="24"/>
                <w:szCs w:val="24"/>
              </w:rPr>
              <w:t> </w:t>
            </w:r>
          </w:p>
        </w:tc>
      </w:tr>
      <w:tr w14:paraId="06537EB3" w14:textId="77777777" w:rsidTr="003D7CEA">
        <w:tblPrEx>
          <w:tblW w:w="8955" w:type="dxa"/>
          <w:tblCellMar>
            <w:top w:w="15" w:type="dxa"/>
            <w:left w:w="15" w:type="dxa"/>
            <w:bottom w:w="15" w:type="dxa"/>
            <w:right w:w="15" w:type="dxa"/>
          </w:tblCellMar>
          <w:tblLook w:val="04A0"/>
        </w:tblPrEx>
        <w:trPr>
          <w:trHeight w:val="136"/>
        </w:trPr>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6C39A93F" w14:textId="77777777">
            <w:pPr>
              <w:spacing w:before="240" w:after="240"/>
              <w:rPr>
                <w:sz w:val="24"/>
                <w:szCs w:val="24"/>
              </w:rPr>
            </w:pPr>
            <w:r w:rsidRPr="00D230C8">
              <w:rPr>
                <w:rFonts w:ascii="Calibri" w:hAnsi="Calibri" w:cs="Calibri"/>
                <w:sz w:val="24"/>
                <w:szCs w:val="24"/>
              </w:rPr>
              <w:t>I-Planejamento</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7B1ECC1F" w14:textId="77777777">
            <w:pPr>
              <w:spacing w:before="240" w:after="240"/>
              <w:jc w:val="center"/>
              <w:rPr>
                <w:sz w:val="24"/>
                <w:szCs w:val="24"/>
              </w:rPr>
            </w:pPr>
            <w:r w:rsidRPr="00D230C8">
              <w:rPr>
                <w:rFonts w:ascii="Calibri" w:hAnsi="Calibri" w:cs="Calibri"/>
                <w:sz w:val="24"/>
                <w:szCs w:val="24"/>
              </w:rPr>
              <w:t>C</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6789B360" w14:textId="77777777">
            <w:pPr>
              <w:spacing w:before="240" w:after="240"/>
              <w:jc w:val="center"/>
              <w:rPr>
                <w:sz w:val="24"/>
                <w:szCs w:val="24"/>
              </w:rPr>
            </w:pPr>
            <w:r w:rsidRPr="00D230C8">
              <w:rPr>
                <w:rFonts w:ascii="Calibri" w:hAnsi="Calibri" w:cs="Calibri"/>
                <w:sz w:val="24"/>
                <w:szCs w:val="24"/>
              </w:rPr>
              <w:t>C</w:t>
            </w:r>
          </w:p>
        </w:tc>
        <w:tc>
          <w:tcPr>
            <w:tcW w:w="1543"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28B35C4B" w14:textId="77777777">
            <w:pPr>
              <w:spacing w:before="240" w:after="240"/>
              <w:jc w:val="center"/>
              <w:rPr>
                <w:sz w:val="24"/>
                <w:szCs w:val="24"/>
              </w:rPr>
            </w:pPr>
            <w:r w:rsidRPr="00D230C8">
              <w:rPr>
                <w:rFonts w:ascii="Calibri" w:hAnsi="Calibri" w:cs="Calibri"/>
                <w:sz w:val="24"/>
                <w:szCs w:val="24"/>
              </w:rPr>
              <w:t>C</w:t>
            </w:r>
          </w:p>
        </w:tc>
        <w:tc>
          <w:tcPr>
            <w:tcW w:w="2180"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03E86ABD" w14:textId="77777777">
            <w:pPr>
              <w:spacing w:before="240" w:after="240"/>
              <w:jc w:val="center"/>
              <w:rPr>
                <w:sz w:val="24"/>
                <w:szCs w:val="24"/>
              </w:rPr>
            </w:pPr>
            <w:r w:rsidRPr="00D230C8">
              <w:rPr>
                <w:rFonts w:ascii="Calibri" w:hAnsi="Calibri" w:cs="Calibri"/>
                <w:sz w:val="24"/>
                <w:szCs w:val="24"/>
              </w:rPr>
              <w:t>C</w:t>
            </w:r>
          </w:p>
        </w:tc>
      </w:tr>
      <w:tr w14:paraId="0F1FE3DC" w14:textId="77777777" w:rsidTr="003D7CEA">
        <w:tblPrEx>
          <w:tblW w:w="8955" w:type="dxa"/>
          <w:tblCellMar>
            <w:top w:w="15" w:type="dxa"/>
            <w:left w:w="15" w:type="dxa"/>
            <w:bottom w:w="15" w:type="dxa"/>
            <w:right w:w="15" w:type="dxa"/>
          </w:tblCellMar>
          <w:tblLook w:val="04A0"/>
        </w:tblPrEx>
        <w:trPr>
          <w:trHeight w:val="136"/>
        </w:trPr>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4C3048AE" w14:textId="77777777">
            <w:pPr>
              <w:spacing w:before="240" w:after="240"/>
              <w:rPr>
                <w:sz w:val="24"/>
                <w:szCs w:val="24"/>
              </w:rPr>
            </w:pPr>
            <w:r w:rsidRPr="00D230C8">
              <w:rPr>
                <w:rFonts w:ascii="Calibri" w:hAnsi="Calibri" w:cs="Calibri"/>
                <w:sz w:val="24"/>
                <w:szCs w:val="24"/>
              </w:rPr>
              <w:t>I-Fiscal </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73612921" w14:textId="77777777">
            <w:pPr>
              <w:spacing w:before="240" w:after="240"/>
              <w:jc w:val="center"/>
              <w:rPr>
                <w:sz w:val="24"/>
                <w:szCs w:val="24"/>
              </w:rPr>
            </w:pPr>
            <w:r w:rsidRPr="00D230C8">
              <w:rPr>
                <w:rFonts w:ascii="Calibri" w:hAnsi="Calibri" w:cs="Calibri"/>
                <w:sz w:val="24"/>
                <w:szCs w:val="24"/>
              </w:rPr>
              <w:t>C+</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7173C2BC" w14:textId="77777777">
            <w:pPr>
              <w:spacing w:before="240" w:after="240"/>
              <w:jc w:val="center"/>
              <w:rPr>
                <w:sz w:val="24"/>
                <w:szCs w:val="24"/>
              </w:rPr>
            </w:pPr>
            <w:r w:rsidRPr="00D230C8">
              <w:rPr>
                <w:rFonts w:ascii="Calibri" w:hAnsi="Calibri" w:cs="Calibri"/>
                <w:sz w:val="24"/>
                <w:szCs w:val="24"/>
              </w:rPr>
              <w:t>B</w:t>
            </w:r>
          </w:p>
        </w:tc>
        <w:tc>
          <w:tcPr>
            <w:tcW w:w="1543"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010287EF" w14:textId="77777777">
            <w:pPr>
              <w:spacing w:before="240" w:after="240"/>
              <w:jc w:val="center"/>
              <w:rPr>
                <w:sz w:val="24"/>
                <w:szCs w:val="24"/>
              </w:rPr>
            </w:pPr>
            <w:r w:rsidRPr="00D230C8">
              <w:rPr>
                <w:rFonts w:ascii="Calibri" w:hAnsi="Calibri" w:cs="Calibri"/>
                <w:sz w:val="24"/>
                <w:szCs w:val="24"/>
              </w:rPr>
              <w:t>B</w:t>
            </w:r>
          </w:p>
        </w:tc>
        <w:tc>
          <w:tcPr>
            <w:tcW w:w="2180"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59258303" w14:textId="77777777">
            <w:pPr>
              <w:spacing w:before="240" w:after="240"/>
              <w:jc w:val="center"/>
              <w:rPr>
                <w:sz w:val="24"/>
                <w:szCs w:val="24"/>
              </w:rPr>
            </w:pPr>
            <w:r w:rsidRPr="00D230C8">
              <w:rPr>
                <w:rFonts w:ascii="Calibri" w:hAnsi="Calibri" w:cs="Calibri"/>
                <w:sz w:val="24"/>
                <w:szCs w:val="24"/>
              </w:rPr>
              <w:t>B</w:t>
            </w:r>
          </w:p>
        </w:tc>
      </w:tr>
      <w:tr w14:paraId="6BD3C6E3" w14:textId="77777777" w:rsidTr="003D7CEA">
        <w:tblPrEx>
          <w:tblW w:w="8955" w:type="dxa"/>
          <w:tblCellMar>
            <w:top w:w="15" w:type="dxa"/>
            <w:left w:w="15" w:type="dxa"/>
            <w:bottom w:w="15" w:type="dxa"/>
            <w:right w:w="15" w:type="dxa"/>
          </w:tblCellMar>
          <w:tblLook w:val="04A0"/>
        </w:tblPrEx>
        <w:trPr>
          <w:trHeight w:val="349"/>
        </w:trPr>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55751EBA" w14:textId="77777777">
            <w:pPr>
              <w:spacing w:before="240" w:after="240"/>
              <w:rPr>
                <w:sz w:val="24"/>
                <w:szCs w:val="24"/>
              </w:rPr>
            </w:pPr>
            <w:r w:rsidRPr="00D230C8">
              <w:rPr>
                <w:rFonts w:ascii="Calibri" w:hAnsi="Calibri" w:cs="Calibri"/>
                <w:sz w:val="24"/>
                <w:szCs w:val="24"/>
              </w:rPr>
              <w:t>I-</w:t>
            </w:r>
            <w:r w:rsidRPr="00D230C8">
              <w:rPr>
                <w:rFonts w:ascii="Calibri" w:hAnsi="Calibri" w:cs="Calibri"/>
                <w:sz w:val="24"/>
                <w:szCs w:val="24"/>
              </w:rPr>
              <w:t>Educ</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09289B11" w14:textId="77777777">
            <w:pPr>
              <w:spacing w:before="240" w:after="240"/>
              <w:jc w:val="center"/>
              <w:rPr>
                <w:sz w:val="24"/>
                <w:szCs w:val="24"/>
              </w:rPr>
            </w:pPr>
            <w:r w:rsidRPr="00D230C8">
              <w:rPr>
                <w:rFonts w:ascii="Calibri" w:hAnsi="Calibri" w:cs="Calibri"/>
                <w:sz w:val="24"/>
                <w:szCs w:val="24"/>
              </w:rPr>
              <w:t>B</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75D19850" w14:textId="77777777">
            <w:pPr>
              <w:spacing w:before="240" w:after="240"/>
              <w:jc w:val="center"/>
              <w:rPr>
                <w:sz w:val="24"/>
                <w:szCs w:val="24"/>
              </w:rPr>
            </w:pPr>
            <w:r w:rsidRPr="00D230C8">
              <w:rPr>
                <w:rFonts w:ascii="Calibri" w:hAnsi="Calibri" w:cs="Calibri"/>
                <w:sz w:val="24"/>
                <w:szCs w:val="24"/>
              </w:rPr>
              <w:t>C</w:t>
            </w:r>
          </w:p>
        </w:tc>
        <w:tc>
          <w:tcPr>
            <w:tcW w:w="1543"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04CD3DA9" w14:textId="77777777">
            <w:pPr>
              <w:spacing w:before="240" w:after="240"/>
              <w:jc w:val="center"/>
              <w:rPr>
                <w:sz w:val="24"/>
                <w:szCs w:val="24"/>
              </w:rPr>
            </w:pPr>
            <w:r w:rsidRPr="00D230C8">
              <w:rPr>
                <w:rFonts w:ascii="Calibri" w:hAnsi="Calibri" w:cs="Calibri"/>
                <w:sz w:val="24"/>
                <w:szCs w:val="24"/>
              </w:rPr>
              <w:t>C+</w:t>
            </w:r>
          </w:p>
        </w:tc>
        <w:tc>
          <w:tcPr>
            <w:tcW w:w="2180"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50C334F7" w14:textId="77777777">
            <w:pPr>
              <w:spacing w:before="240" w:after="240"/>
              <w:jc w:val="center"/>
              <w:rPr>
                <w:sz w:val="24"/>
                <w:szCs w:val="24"/>
              </w:rPr>
            </w:pPr>
            <w:r w:rsidRPr="00D230C8">
              <w:rPr>
                <w:rFonts w:ascii="Calibri" w:hAnsi="Calibri" w:cs="Calibri"/>
                <w:sz w:val="24"/>
                <w:szCs w:val="24"/>
              </w:rPr>
              <w:t>C+</w:t>
            </w:r>
          </w:p>
        </w:tc>
      </w:tr>
      <w:tr w14:paraId="5303B1D7" w14:textId="77777777" w:rsidTr="003D7CEA">
        <w:tblPrEx>
          <w:tblW w:w="8955" w:type="dxa"/>
          <w:tblCellMar>
            <w:top w:w="15" w:type="dxa"/>
            <w:left w:w="15" w:type="dxa"/>
            <w:bottom w:w="15" w:type="dxa"/>
            <w:right w:w="15" w:type="dxa"/>
          </w:tblCellMar>
          <w:tblLook w:val="04A0"/>
        </w:tblPrEx>
        <w:trPr>
          <w:trHeight w:val="136"/>
        </w:trPr>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3681E688" w14:textId="77777777">
            <w:pPr>
              <w:spacing w:before="240" w:after="240"/>
              <w:rPr>
                <w:sz w:val="24"/>
                <w:szCs w:val="24"/>
              </w:rPr>
            </w:pPr>
            <w:r w:rsidRPr="00D230C8">
              <w:rPr>
                <w:rFonts w:ascii="Calibri" w:hAnsi="Calibri" w:cs="Calibri"/>
                <w:sz w:val="24"/>
                <w:szCs w:val="24"/>
              </w:rPr>
              <w:t>I-Saúde</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3075B0D2" w14:textId="77777777">
            <w:pPr>
              <w:spacing w:before="240" w:after="240"/>
              <w:jc w:val="center"/>
              <w:rPr>
                <w:sz w:val="24"/>
                <w:szCs w:val="24"/>
              </w:rPr>
            </w:pPr>
            <w:r w:rsidRPr="00D230C8">
              <w:rPr>
                <w:rFonts w:ascii="Calibri" w:hAnsi="Calibri" w:cs="Calibri"/>
                <w:sz w:val="24"/>
                <w:szCs w:val="24"/>
              </w:rPr>
              <w:t>C</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2E0D31B8" w14:textId="77777777">
            <w:pPr>
              <w:spacing w:before="240" w:after="240"/>
              <w:jc w:val="center"/>
              <w:rPr>
                <w:sz w:val="24"/>
                <w:szCs w:val="24"/>
              </w:rPr>
            </w:pPr>
            <w:r w:rsidRPr="00D230C8">
              <w:rPr>
                <w:rFonts w:ascii="Calibri" w:hAnsi="Calibri" w:cs="Calibri"/>
                <w:sz w:val="24"/>
                <w:szCs w:val="24"/>
              </w:rPr>
              <w:t>C</w:t>
            </w:r>
          </w:p>
        </w:tc>
        <w:tc>
          <w:tcPr>
            <w:tcW w:w="1543"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4B3939FB" w14:textId="77777777">
            <w:pPr>
              <w:spacing w:before="240" w:after="240"/>
              <w:jc w:val="center"/>
              <w:rPr>
                <w:sz w:val="24"/>
                <w:szCs w:val="24"/>
              </w:rPr>
            </w:pPr>
            <w:r w:rsidRPr="00D230C8">
              <w:rPr>
                <w:rFonts w:ascii="Calibri" w:hAnsi="Calibri" w:cs="Calibri"/>
                <w:sz w:val="24"/>
                <w:szCs w:val="24"/>
              </w:rPr>
              <w:t>C+</w:t>
            </w:r>
          </w:p>
        </w:tc>
        <w:tc>
          <w:tcPr>
            <w:tcW w:w="2180"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6D723FBA" w14:textId="77777777">
            <w:pPr>
              <w:spacing w:before="240" w:after="240"/>
              <w:jc w:val="center"/>
              <w:rPr>
                <w:sz w:val="24"/>
                <w:szCs w:val="24"/>
              </w:rPr>
            </w:pPr>
            <w:r w:rsidRPr="00D230C8">
              <w:rPr>
                <w:rFonts w:ascii="Calibri" w:hAnsi="Calibri" w:cs="Calibri"/>
                <w:sz w:val="24"/>
                <w:szCs w:val="24"/>
              </w:rPr>
              <w:t>B ↑</w:t>
            </w:r>
          </w:p>
        </w:tc>
      </w:tr>
      <w:tr w14:paraId="6E648D94" w14:textId="77777777" w:rsidTr="003D7CEA">
        <w:tblPrEx>
          <w:tblW w:w="8955" w:type="dxa"/>
          <w:tblCellMar>
            <w:top w:w="15" w:type="dxa"/>
            <w:left w:w="15" w:type="dxa"/>
            <w:bottom w:w="15" w:type="dxa"/>
            <w:right w:w="15" w:type="dxa"/>
          </w:tblCellMar>
          <w:tblLook w:val="04A0"/>
        </w:tblPrEx>
        <w:trPr>
          <w:trHeight w:val="136"/>
        </w:trPr>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4FCA54E7" w14:textId="77777777">
            <w:pPr>
              <w:spacing w:before="240" w:after="240"/>
              <w:rPr>
                <w:sz w:val="24"/>
                <w:szCs w:val="24"/>
              </w:rPr>
            </w:pPr>
            <w:r w:rsidRPr="00D230C8">
              <w:rPr>
                <w:rFonts w:ascii="Calibri" w:hAnsi="Calibri" w:cs="Calibri"/>
                <w:sz w:val="24"/>
                <w:szCs w:val="24"/>
              </w:rPr>
              <w:t xml:space="preserve">I- </w:t>
            </w:r>
            <w:r w:rsidRPr="00D230C8">
              <w:rPr>
                <w:rFonts w:ascii="Calibri" w:hAnsi="Calibri" w:cs="Calibri"/>
                <w:sz w:val="24"/>
                <w:szCs w:val="24"/>
              </w:rPr>
              <w:t>Amb</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20280CEB" w14:textId="77777777">
            <w:pPr>
              <w:spacing w:before="240" w:after="240"/>
              <w:jc w:val="center"/>
              <w:rPr>
                <w:sz w:val="24"/>
                <w:szCs w:val="24"/>
              </w:rPr>
            </w:pPr>
            <w:r w:rsidRPr="00D230C8">
              <w:rPr>
                <w:rFonts w:ascii="Calibri" w:hAnsi="Calibri" w:cs="Calibri"/>
                <w:sz w:val="24"/>
                <w:szCs w:val="24"/>
              </w:rPr>
              <w:t>C</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3B845589" w14:textId="77777777">
            <w:pPr>
              <w:spacing w:before="240" w:after="240"/>
              <w:jc w:val="center"/>
              <w:rPr>
                <w:sz w:val="24"/>
                <w:szCs w:val="24"/>
              </w:rPr>
            </w:pPr>
            <w:r w:rsidRPr="00D230C8">
              <w:rPr>
                <w:rFonts w:ascii="Calibri" w:hAnsi="Calibri" w:cs="Calibri"/>
                <w:sz w:val="24"/>
                <w:szCs w:val="24"/>
              </w:rPr>
              <w:t>C</w:t>
            </w:r>
          </w:p>
        </w:tc>
        <w:tc>
          <w:tcPr>
            <w:tcW w:w="1543"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5ED22B28" w14:textId="77777777">
            <w:pPr>
              <w:spacing w:before="240" w:after="240"/>
              <w:jc w:val="center"/>
              <w:rPr>
                <w:sz w:val="24"/>
                <w:szCs w:val="24"/>
              </w:rPr>
            </w:pPr>
            <w:r w:rsidRPr="00D230C8">
              <w:rPr>
                <w:rFonts w:ascii="Calibri" w:hAnsi="Calibri" w:cs="Calibri"/>
                <w:sz w:val="24"/>
                <w:szCs w:val="24"/>
              </w:rPr>
              <w:t>C</w:t>
            </w:r>
          </w:p>
        </w:tc>
        <w:tc>
          <w:tcPr>
            <w:tcW w:w="2180"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3FCE74D3" w14:textId="77777777">
            <w:pPr>
              <w:spacing w:before="240" w:after="240"/>
              <w:jc w:val="center"/>
              <w:rPr>
                <w:sz w:val="24"/>
                <w:szCs w:val="24"/>
              </w:rPr>
            </w:pPr>
            <w:r w:rsidRPr="00D230C8">
              <w:rPr>
                <w:rFonts w:ascii="Calibri" w:hAnsi="Calibri" w:cs="Calibri"/>
                <w:sz w:val="24"/>
                <w:szCs w:val="24"/>
              </w:rPr>
              <w:t>C+ ↑</w:t>
            </w:r>
          </w:p>
        </w:tc>
      </w:tr>
      <w:tr w14:paraId="41C5090E" w14:textId="77777777" w:rsidTr="003D7CEA">
        <w:tblPrEx>
          <w:tblW w:w="8955" w:type="dxa"/>
          <w:tblCellMar>
            <w:top w:w="15" w:type="dxa"/>
            <w:left w:w="15" w:type="dxa"/>
            <w:bottom w:w="15" w:type="dxa"/>
            <w:right w:w="15" w:type="dxa"/>
          </w:tblCellMar>
          <w:tblLook w:val="04A0"/>
        </w:tblPrEx>
        <w:trPr>
          <w:trHeight w:val="136"/>
        </w:trPr>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2298592F" w14:textId="77777777">
            <w:pPr>
              <w:spacing w:before="240" w:after="240"/>
              <w:rPr>
                <w:sz w:val="24"/>
                <w:szCs w:val="24"/>
              </w:rPr>
            </w:pPr>
            <w:r w:rsidRPr="00D230C8">
              <w:rPr>
                <w:rFonts w:ascii="Calibri" w:hAnsi="Calibri" w:cs="Calibri"/>
                <w:sz w:val="24"/>
                <w:szCs w:val="24"/>
              </w:rPr>
              <w:t>I -Cidade </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49A221A3" w14:textId="77777777">
            <w:pPr>
              <w:spacing w:before="240" w:after="240"/>
              <w:jc w:val="center"/>
              <w:rPr>
                <w:sz w:val="24"/>
                <w:szCs w:val="24"/>
              </w:rPr>
            </w:pPr>
            <w:r w:rsidRPr="00D230C8">
              <w:rPr>
                <w:rFonts w:ascii="Calibri" w:hAnsi="Calibri" w:cs="Calibri"/>
                <w:sz w:val="24"/>
                <w:szCs w:val="24"/>
              </w:rPr>
              <w:t>B</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6BF14194" w14:textId="77777777">
            <w:pPr>
              <w:spacing w:before="240" w:after="240"/>
              <w:jc w:val="center"/>
              <w:rPr>
                <w:sz w:val="24"/>
                <w:szCs w:val="24"/>
              </w:rPr>
            </w:pPr>
            <w:r w:rsidRPr="00D230C8">
              <w:rPr>
                <w:rFonts w:ascii="Calibri" w:hAnsi="Calibri" w:cs="Calibri"/>
                <w:sz w:val="24"/>
                <w:szCs w:val="24"/>
              </w:rPr>
              <w:t>C</w:t>
            </w:r>
          </w:p>
        </w:tc>
        <w:tc>
          <w:tcPr>
            <w:tcW w:w="1543"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216DC307" w14:textId="77777777">
            <w:pPr>
              <w:spacing w:before="240" w:after="240"/>
              <w:jc w:val="center"/>
              <w:rPr>
                <w:sz w:val="24"/>
                <w:szCs w:val="24"/>
              </w:rPr>
            </w:pPr>
            <w:r w:rsidRPr="00D230C8">
              <w:rPr>
                <w:rFonts w:ascii="Calibri" w:hAnsi="Calibri" w:cs="Calibri"/>
                <w:sz w:val="24"/>
                <w:szCs w:val="24"/>
              </w:rPr>
              <w:t>B</w:t>
            </w:r>
          </w:p>
        </w:tc>
        <w:tc>
          <w:tcPr>
            <w:tcW w:w="2180"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0ADFAB8D" w14:textId="77777777">
            <w:pPr>
              <w:spacing w:before="240" w:after="240"/>
              <w:jc w:val="center"/>
              <w:rPr>
                <w:sz w:val="24"/>
                <w:szCs w:val="24"/>
              </w:rPr>
            </w:pPr>
            <w:r w:rsidRPr="00D230C8">
              <w:rPr>
                <w:rFonts w:ascii="Calibri" w:hAnsi="Calibri" w:cs="Calibri"/>
                <w:sz w:val="24"/>
                <w:szCs w:val="24"/>
              </w:rPr>
              <w:t>A ↑</w:t>
            </w:r>
          </w:p>
        </w:tc>
      </w:tr>
      <w:tr w14:paraId="526F9AA3" w14:textId="77777777" w:rsidTr="003D7CEA">
        <w:tblPrEx>
          <w:tblW w:w="8955" w:type="dxa"/>
          <w:tblCellMar>
            <w:top w:w="15" w:type="dxa"/>
            <w:left w:w="15" w:type="dxa"/>
            <w:bottom w:w="15" w:type="dxa"/>
            <w:right w:w="15" w:type="dxa"/>
          </w:tblCellMar>
          <w:tblLook w:val="04A0"/>
        </w:tblPrEx>
        <w:trPr>
          <w:trHeight w:val="136"/>
        </w:trPr>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3EF926D7" w14:textId="77777777">
            <w:pPr>
              <w:spacing w:before="240" w:after="240"/>
              <w:rPr>
                <w:sz w:val="24"/>
                <w:szCs w:val="24"/>
              </w:rPr>
            </w:pPr>
            <w:r w:rsidRPr="00D230C8">
              <w:rPr>
                <w:rFonts w:ascii="Calibri" w:hAnsi="Calibri" w:cs="Calibri"/>
                <w:sz w:val="24"/>
                <w:szCs w:val="24"/>
              </w:rPr>
              <w:t xml:space="preserve">I- </w:t>
            </w:r>
            <w:r w:rsidRPr="00D230C8">
              <w:rPr>
                <w:rFonts w:ascii="Calibri" w:hAnsi="Calibri" w:cs="Calibri"/>
                <w:sz w:val="24"/>
                <w:szCs w:val="24"/>
              </w:rPr>
              <w:t>Gov</w:t>
            </w:r>
            <w:r w:rsidRPr="00D230C8">
              <w:rPr>
                <w:rFonts w:ascii="Calibri" w:hAnsi="Calibri" w:cs="Calibri"/>
                <w:sz w:val="24"/>
                <w:szCs w:val="24"/>
              </w:rPr>
              <w:t xml:space="preserve"> TI</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7753EE41" w14:textId="77777777">
            <w:pPr>
              <w:spacing w:before="240" w:after="240"/>
              <w:jc w:val="center"/>
              <w:rPr>
                <w:sz w:val="24"/>
                <w:szCs w:val="24"/>
              </w:rPr>
            </w:pPr>
            <w:r w:rsidRPr="00D230C8">
              <w:rPr>
                <w:rFonts w:ascii="Calibri" w:hAnsi="Calibri" w:cs="Calibri"/>
                <w:sz w:val="24"/>
                <w:szCs w:val="24"/>
              </w:rPr>
              <w:t>C+</w:t>
            </w:r>
          </w:p>
        </w:tc>
        <w:tc>
          <w:tcPr>
            <w:tcW w:w="0" w:type="auto"/>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69E81FE2" w14:textId="77777777">
            <w:pPr>
              <w:spacing w:before="240" w:after="240"/>
              <w:jc w:val="center"/>
              <w:rPr>
                <w:sz w:val="24"/>
                <w:szCs w:val="24"/>
              </w:rPr>
            </w:pPr>
            <w:r w:rsidRPr="00D230C8">
              <w:rPr>
                <w:rFonts w:ascii="Calibri" w:hAnsi="Calibri" w:cs="Calibri"/>
                <w:sz w:val="24"/>
                <w:szCs w:val="24"/>
              </w:rPr>
              <w:t>B</w:t>
            </w:r>
          </w:p>
        </w:tc>
        <w:tc>
          <w:tcPr>
            <w:tcW w:w="1543"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091C0D14" w14:textId="77777777">
            <w:pPr>
              <w:spacing w:before="240" w:after="240"/>
              <w:jc w:val="center"/>
              <w:rPr>
                <w:sz w:val="24"/>
                <w:szCs w:val="24"/>
              </w:rPr>
            </w:pPr>
            <w:r w:rsidRPr="00D230C8">
              <w:rPr>
                <w:rFonts w:ascii="Calibri" w:hAnsi="Calibri" w:cs="Calibri"/>
                <w:sz w:val="24"/>
                <w:szCs w:val="24"/>
              </w:rPr>
              <w:t>B</w:t>
            </w:r>
          </w:p>
        </w:tc>
        <w:tc>
          <w:tcPr>
            <w:tcW w:w="2180" w:type="dxa"/>
            <w:tcBorders>
              <w:top w:val="single" w:sz="4" w:space="0" w:color="7F7F7F"/>
              <w:bottom w:val="single" w:sz="4" w:space="0" w:color="7F7F7F"/>
            </w:tcBorders>
            <w:tcMar>
              <w:top w:w="0" w:type="dxa"/>
              <w:left w:w="100" w:type="dxa"/>
              <w:bottom w:w="0" w:type="dxa"/>
              <w:right w:w="100" w:type="dxa"/>
            </w:tcMar>
            <w:hideMark/>
          </w:tcPr>
          <w:p w:rsidR="00D230C8" w:rsidRPr="00D230C8" w:rsidP="00D230C8" w14:paraId="142E61EE" w14:textId="77777777">
            <w:pPr>
              <w:spacing w:before="240" w:after="240"/>
              <w:jc w:val="center"/>
              <w:rPr>
                <w:sz w:val="24"/>
                <w:szCs w:val="24"/>
              </w:rPr>
            </w:pPr>
            <w:r w:rsidRPr="00D230C8">
              <w:rPr>
                <w:rFonts w:ascii="Calibri" w:hAnsi="Calibri" w:cs="Calibri"/>
                <w:sz w:val="24"/>
                <w:szCs w:val="24"/>
              </w:rPr>
              <w:t>B</w:t>
            </w:r>
          </w:p>
        </w:tc>
      </w:tr>
    </w:tbl>
    <w:p w:rsidR="00D230C8" w:rsidRPr="00D230C8" w:rsidP="00D230C8" w14:paraId="1E8C3B61" w14:textId="4E43039B">
      <w:pPr>
        <w:spacing w:before="240"/>
        <w:jc w:val="both"/>
        <w:rPr>
          <w:sz w:val="24"/>
          <w:szCs w:val="24"/>
        </w:rPr>
      </w:pPr>
      <w:r w:rsidRPr="00D230C8">
        <w:rPr>
          <w:rFonts w:ascii="Calibri" w:hAnsi="Calibri" w:cs="Calibri"/>
        </w:rPr>
        <w:t>Sendo: A</w:t>
      </w:r>
      <w:r w:rsidRPr="00D230C8">
        <w:rPr>
          <w:rFonts w:ascii="Calibri" w:hAnsi="Calibri" w:cs="Calibri"/>
        </w:rPr>
        <w:t>)</w:t>
      </w:r>
      <w:r w:rsidR="008E0A0F">
        <w:rPr>
          <w:rFonts w:ascii="Calibri" w:hAnsi="Calibri" w:cs="Calibri"/>
        </w:rPr>
        <w:t xml:space="preserve"> </w:t>
      </w:r>
      <w:r w:rsidRPr="00D230C8">
        <w:rPr>
          <w:rFonts w:ascii="Calibri" w:hAnsi="Calibri" w:cs="Calibri"/>
        </w:rPr>
        <w:t>Altamente</w:t>
      </w:r>
      <w:r w:rsidRPr="00D230C8">
        <w:rPr>
          <w:rFonts w:ascii="Calibri" w:hAnsi="Calibri" w:cs="Calibri"/>
        </w:rPr>
        <w:t xml:space="preserve"> efetivo; B+) Muito efetivo; B) Efetiva; C+) Em fase de adequação; C) baixo nível de adequação</w:t>
      </w:r>
    </w:p>
    <w:p w:rsidR="00D230C8" w:rsidRPr="00D230C8" w:rsidP="00D230C8" w14:paraId="04CEBBC1" w14:textId="77777777">
      <w:pPr>
        <w:rPr>
          <w:sz w:val="24"/>
          <w:szCs w:val="24"/>
        </w:rPr>
      </w:pPr>
    </w:p>
    <w:p w:rsidR="00D230C8" w:rsidRPr="00D230C8" w:rsidP="003D7CEA" w14:paraId="0A05817B" w14:textId="6694E3F0">
      <w:pPr>
        <w:spacing w:before="240"/>
        <w:ind w:firstLine="720"/>
        <w:jc w:val="both"/>
        <w:rPr>
          <w:rFonts w:ascii="Calibri" w:hAnsi="Calibri" w:cs="Calibri"/>
          <w:sz w:val="24"/>
          <w:szCs w:val="24"/>
        </w:rPr>
      </w:pPr>
      <w:r w:rsidRPr="00D230C8">
        <w:rPr>
          <w:rFonts w:ascii="Calibri" w:hAnsi="Calibri" w:cs="Calibri"/>
          <w:sz w:val="24"/>
          <w:szCs w:val="24"/>
        </w:rPr>
        <w:t> Em avaliação ao Relatório de Fiscalização da Unidade R</w:t>
      </w:r>
      <w:r w:rsidR="003D7CEA">
        <w:rPr>
          <w:rFonts w:ascii="Calibri" w:hAnsi="Calibri" w:cs="Calibri"/>
          <w:sz w:val="24"/>
          <w:szCs w:val="24"/>
        </w:rPr>
        <w:t>egional de Mogi Guaçu - UR-19, </w:t>
      </w:r>
      <w:r w:rsidRPr="00D230C8">
        <w:rPr>
          <w:rFonts w:ascii="Calibri" w:hAnsi="Calibri" w:cs="Calibri"/>
          <w:sz w:val="24"/>
          <w:szCs w:val="24"/>
        </w:rPr>
        <w:t xml:space="preserve">verificou-se que o município de Mogi Mirim está em fase de adequação do Índice de Efetividade da Gestão Municipal </w:t>
      </w:r>
      <w:r w:rsidR="003D7CEA">
        <w:rPr>
          <w:rFonts w:ascii="Calibri" w:hAnsi="Calibri" w:cs="Calibri"/>
          <w:sz w:val="24"/>
          <w:szCs w:val="24"/>
        </w:rPr>
        <w:t>(IEG-M) o qual teve melhora em </w:t>
      </w:r>
      <w:r w:rsidRPr="00D230C8">
        <w:rPr>
          <w:rFonts w:ascii="Calibri" w:hAnsi="Calibri" w:cs="Calibri"/>
          <w:sz w:val="24"/>
          <w:szCs w:val="24"/>
        </w:rPr>
        <w:t>relação ao exercício de 2022 obteve o resultado “</w:t>
      </w:r>
      <w:r w:rsidRPr="00D230C8">
        <w:rPr>
          <w:rFonts w:ascii="Calibri" w:hAnsi="Calibri" w:cs="Calibri"/>
          <w:i/>
          <w:iCs/>
          <w:sz w:val="24"/>
          <w:szCs w:val="24"/>
        </w:rPr>
        <w:t>C”</w:t>
      </w:r>
      <w:r w:rsidRPr="00D230C8">
        <w:rPr>
          <w:rFonts w:ascii="Calibri" w:hAnsi="Calibri" w:cs="Calibri"/>
          <w:sz w:val="24"/>
          <w:szCs w:val="24"/>
        </w:rPr>
        <w:t>, e neste, em tela, o resultado de “C+”.</w:t>
      </w:r>
    </w:p>
    <w:p w:rsidR="00D230C8" w:rsidRPr="00D230C8" w:rsidP="00D230C8" w14:paraId="1044FF2A" w14:textId="79A3FCC3">
      <w:pPr>
        <w:spacing w:before="240"/>
        <w:ind w:firstLine="720"/>
        <w:jc w:val="both"/>
        <w:rPr>
          <w:sz w:val="24"/>
          <w:szCs w:val="24"/>
        </w:rPr>
      </w:pPr>
      <w:r w:rsidRPr="00D230C8">
        <w:rPr>
          <w:rFonts w:ascii="Calibri" w:hAnsi="Calibri" w:cs="Calibri"/>
          <w:sz w:val="24"/>
          <w:szCs w:val="24"/>
        </w:rPr>
        <w:t>Pelo quadro demonstrativo, é possível identificar que NÃO houve queda em nenhum dos indicadores específicos, permanecendo a mesma avaliação nos indica</w:t>
      </w:r>
      <w:r w:rsidR="003D7CEA">
        <w:rPr>
          <w:rFonts w:ascii="Calibri" w:hAnsi="Calibri" w:cs="Calibri"/>
          <w:sz w:val="24"/>
          <w:szCs w:val="24"/>
        </w:rPr>
        <w:t>dores I-Fiscal, I-Planejamento,</w:t>
      </w:r>
      <w:r w:rsidRPr="00D230C8">
        <w:rPr>
          <w:rFonts w:ascii="Calibri" w:hAnsi="Calibri" w:cs="Calibri"/>
          <w:sz w:val="24"/>
          <w:szCs w:val="24"/>
        </w:rPr>
        <w:t xml:space="preserve"> I-</w:t>
      </w:r>
      <w:r w:rsidRPr="00D230C8">
        <w:rPr>
          <w:rFonts w:ascii="Calibri" w:hAnsi="Calibri" w:cs="Calibri"/>
          <w:sz w:val="24"/>
          <w:szCs w:val="24"/>
        </w:rPr>
        <w:t>Educ</w:t>
      </w:r>
      <w:r w:rsidRPr="00D230C8">
        <w:rPr>
          <w:rFonts w:ascii="Calibri" w:hAnsi="Calibri" w:cs="Calibri"/>
          <w:sz w:val="24"/>
          <w:szCs w:val="24"/>
        </w:rPr>
        <w:t xml:space="preserve"> e I- </w:t>
      </w:r>
      <w:r w:rsidRPr="00D230C8">
        <w:rPr>
          <w:rFonts w:ascii="Calibri" w:hAnsi="Calibri" w:cs="Calibri"/>
          <w:sz w:val="24"/>
          <w:szCs w:val="24"/>
        </w:rPr>
        <w:t>Gov</w:t>
      </w:r>
      <w:r w:rsidRPr="00D230C8">
        <w:rPr>
          <w:rFonts w:ascii="Calibri" w:hAnsi="Calibri" w:cs="Calibri"/>
          <w:sz w:val="24"/>
          <w:szCs w:val="24"/>
        </w:rPr>
        <w:t xml:space="preserve"> TI. Foi registrado AUMENTO nos indicadores I- Saúde, I - </w:t>
      </w:r>
      <w:r w:rsidRPr="00D230C8">
        <w:rPr>
          <w:rFonts w:ascii="Calibri" w:hAnsi="Calibri" w:cs="Calibri"/>
          <w:sz w:val="24"/>
          <w:szCs w:val="24"/>
        </w:rPr>
        <w:t>Amb</w:t>
      </w:r>
      <w:r w:rsidRPr="00D230C8">
        <w:rPr>
          <w:rFonts w:ascii="Calibri" w:hAnsi="Calibri" w:cs="Calibri"/>
          <w:sz w:val="24"/>
          <w:szCs w:val="24"/>
        </w:rPr>
        <w:t xml:space="preserve"> e I- Cidade</w:t>
      </w:r>
    </w:p>
    <w:p w:rsidR="00D230C8" w:rsidRPr="00D230C8" w:rsidP="00D230C8" w14:paraId="41FD9991" w14:textId="2F59F765">
      <w:pPr>
        <w:spacing w:before="240"/>
        <w:ind w:firstLine="720"/>
        <w:jc w:val="both"/>
        <w:rPr>
          <w:sz w:val="24"/>
          <w:szCs w:val="24"/>
        </w:rPr>
      </w:pPr>
      <w:r w:rsidRPr="00D230C8">
        <w:rPr>
          <w:rFonts w:ascii="Calibri" w:hAnsi="Calibri" w:cs="Calibri"/>
          <w:sz w:val="24"/>
          <w:szCs w:val="24"/>
        </w:rPr>
        <w:t>Segue abaixo de forma sintética as principais ocorrências registradas pela unidade de fiscalização UR -19 e os argumentos defendidos pela administração municipal.</w:t>
      </w:r>
    </w:p>
    <w:p w:rsidR="00D230C8" w:rsidRPr="00D230C8" w:rsidP="00D230C8" w14:paraId="38F92911" w14:textId="77777777">
      <w:pPr>
        <w:rPr>
          <w:sz w:val="24"/>
          <w:szCs w:val="24"/>
        </w:rPr>
      </w:pPr>
    </w:p>
    <w:p w:rsidR="00D230C8" w:rsidRPr="00D230C8" w:rsidP="00D230C8" w14:paraId="49A93F67" w14:textId="77777777">
      <w:pPr>
        <w:spacing w:before="240" w:after="240"/>
        <w:rPr>
          <w:sz w:val="24"/>
          <w:szCs w:val="24"/>
        </w:rPr>
      </w:pPr>
      <w:r w:rsidRPr="00D230C8">
        <w:rPr>
          <w:rFonts w:ascii="Calibri" w:hAnsi="Calibri" w:cs="Calibri"/>
          <w:b/>
          <w:bCs/>
          <w:sz w:val="24"/>
          <w:szCs w:val="24"/>
        </w:rPr>
        <w:t>CONTROLE INTERNO </w:t>
      </w:r>
    </w:p>
    <w:p w:rsidR="00D230C8" w:rsidRPr="00D230C8" w:rsidP="00541A0A" w14:paraId="7CF21E2B" w14:textId="0B82B271">
      <w:pPr>
        <w:numPr>
          <w:ilvl w:val="0"/>
          <w:numId w:val="2"/>
        </w:numPr>
        <w:spacing w:before="240"/>
        <w:jc w:val="both"/>
        <w:textAlignment w:val="baseline"/>
        <w:rPr>
          <w:rFonts w:ascii="Calibri" w:hAnsi="Calibri" w:cs="Calibri"/>
          <w:sz w:val="24"/>
          <w:szCs w:val="24"/>
        </w:rPr>
      </w:pPr>
      <w:r>
        <w:rPr>
          <w:rFonts w:ascii="Calibri" w:hAnsi="Calibri" w:cs="Calibri"/>
          <w:sz w:val="24"/>
          <w:szCs w:val="24"/>
        </w:rPr>
        <w:t>S</w:t>
      </w:r>
      <w:r w:rsidRPr="00D230C8">
        <w:rPr>
          <w:rFonts w:ascii="Calibri" w:hAnsi="Calibri" w:cs="Calibri"/>
          <w:sz w:val="24"/>
          <w:szCs w:val="24"/>
        </w:rPr>
        <w:t>ervidor empossado no cargo em comissão de controlador geral, ainda que originalmente efetivo, exerce as atividades referentes ao controle interno, o que pode interferir na independência e autonomia. A Prefeitura informou que a controladoria interna enfrentou dificuldades pela falta de servidores, que foi devidamente sanada com a contratação de auditores de controle interno.</w:t>
      </w:r>
    </w:p>
    <w:p w:rsidR="003D7CEA" w:rsidP="003D7CEA" w14:paraId="2EAB37B8" w14:textId="77777777">
      <w:pPr>
        <w:spacing w:before="240"/>
        <w:jc w:val="both"/>
        <w:rPr>
          <w:sz w:val="24"/>
          <w:szCs w:val="24"/>
        </w:rPr>
      </w:pPr>
      <w:r w:rsidRPr="00D230C8">
        <w:rPr>
          <w:rFonts w:ascii="Calibri" w:hAnsi="Calibri" w:cs="Calibri"/>
          <w:b/>
          <w:bCs/>
          <w:sz w:val="24"/>
          <w:szCs w:val="24"/>
        </w:rPr>
        <w:t>OBRAS PARALISADAS</w:t>
      </w:r>
    </w:p>
    <w:p w:rsidR="00D230C8" w:rsidRPr="003D7CEA" w:rsidP="00541A0A" w14:paraId="0E2E4367" w14:textId="7985528D">
      <w:pPr>
        <w:pStyle w:val="ListParagraph"/>
        <w:numPr>
          <w:ilvl w:val="0"/>
          <w:numId w:val="2"/>
        </w:numPr>
        <w:spacing w:before="240"/>
        <w:jc w:val="both"/>
        <w:rPr>
          <w:rFonts w:ascii="Times New Roman" w:hAnsi="Times New Roman" w:cs="Times New Roman"/>
          <w:sz w:val="24"/>
          <w:szCs w:val="24"/>
        </w:rPr>
      </w:pPr>
      <w:r w:rsidRPr="003D7CEA">
        <w:rPr>
          <w:rFonts w:ascii="Calibri" w:hAnsi="Calibri" w:cs="Calibri"/>
          <w:sz w:val="24"/>
          <w:szCs w:val="24"/>
        </w:rPr>
        <w:t>A unidade também verificou inconsistências nas informações prestadas na origem.</w:t>
      </w:r>
    </w:p>
    <w:p w:rsidR="00D230C8" w:rsidRPr="00D230C8" w:rsidP="00D230C8" w14:paraId="1FDC8296" w14:textId="77777777">
      <w:pPr>
        <w:rPr>
          <w:sz w:val="24"/>
          <w:szCs w:val="24"/>
        </w:rPr>
      </w:pPr>
    </w:p>
    <w:p w:rsidR="00D230C8" w:rsidRPr="00D230C8" w:rsidP="00D230C8" w14:paraId="698A88DC" w14:textId="77777777">
      <w:pPr>
        <w:spacing w:before="240" w:after="240"/>
        <w:rPr>
          <w:sz w:val="24"/>
          <w:szCs w:val="24"/>
        </w:rPr>
      </w:pPr>
      <w:r w:rsidRPr="00D230C8">
        <w:rPr>
          <w:rFonts w:ascii="Calibri" w:hAnsi="Calibri" w:cs="Calibri"/>
          <w:b/>
          <w:bCs/>
          <w:sz w:val="24"/>
          <w:szCs w:val="24"/>
        </w:rPr>
        <w:t>IEG-M – I-PLANEJAMENTO</w:t>
      </w:r>
    </w:p>
    <w:p w:rsidR="003D7CEA" w:rsidP="00541A0A" w14:paraId="3AA650D3" w14:textId="77777777">
      <w:pPr>
        <w:pStyle w:val="ListParagraph"/>
        <w:numPr>
          <w:ilvl w:val="0"/>
          <w:numId w:val="2"/>
        </w:numPr>
        <w:spacing w:before="240"/>
        <w:textAlignment w:val="baseline"/>
        <w:rPr>
          <w:rFonts w:ascii="Calibri" w:hAnsi="Calibri" w:cs="Calibri"/>
          <w:sz w:val="24"/>
          <w:szCs w:val="24"/>
        </w:rPr>
      </w:pPr>
      <w:r w:rsidRPr="003D7CEA">
        <w:rPr>
          <w:rFonts w:ascii="Calibri" w:hAnsi="Calibri" w:cs="Calibri"/>
          <w:sz w:val="24"/>
          <w:szCs w:val="24"/>
        </w:rPr>
        <w:t>Estagnação em baixo índice de efetividade nos últimos quatro anos (c);</w:t>
      </w:r>
    </w:p>
    <w:p w:rsidR="003D7CEA" w:rsidP="00541A0A" w14:paraId="67F4F08F" w14:textId="77777777">
      <w:pPr>
        <w:pStyle w:val="ListParagraph"/>
        <w:numPr>
          <w:ilvl w:val="0"/>
          <w:numId w:val="2"/>
        </w:numPr>
        <w:spacing w:before="240"/>
        <w:textAlignment w:val="baseline"/>
        <w:rPr>
          <w:rFonts w:ascii="Calibri" w:hAnsi="Calibri" w:cs="Calibri"/>
          <w:sz w:val="24"/>
          <w:szCs w:val="24"/>
        </w:rPr>
      </w:pPr>
      <w:r w:rsidRPr="003D7CEA">
        <w:rPr>
          <w:rFonts w:ascii="Calibri" w:hAnsi="Calibri" w:cs="Calibri"/>
          <w:sz w:val="24"/>
          <w:szCs w:val="24"/>
        </w:rPr>
        <w:t>Não elaboração do Relatório Anual de Avaliação dos programas finalísticos do PPA, com observação que nem todos os indicadores do PPA são mensuráveis;</w:t>
      </w:r>
    </w:p>
    <w:p w:rsidR="003D7CEA" w:rsidP="00541A0A" w14:paraId="59C90A85" w14:textId="77777777">
      <w:pPr>
        <w:pStyle w:val="ListParagraph"/>
        <w:numPr>
          <w:ilvl w:val="0"/>
          <w:numId w:val="2"/>
        </w:numPr>
        <w:spacing w:before="240"/>
        <w:textAlignment w:val="baseline"/>
        <w:rPr>
          <w:rFonts w:ascii="Calibri" w:hAnsi="Calibri" w:cs="Calibri"/>
          <w:sz w:val="24"/>
          <w:szCs w:val="24"/>
        </w:rPr>
      </w:pPr>
      <w:r>
        <w:rPr>
          <w:rFonts w:ascii="Calibri" w:hAnsi="Calibri" w:cs="Calibri"/>
          <w:sz w:val="24"/>
          <w:szCs w:val="24"/>
        </w:rPr>
        <w:t>F</w:t>
      </w:r>
      <w:r w:rsidRPr="003D7CEA" w:rsidR="00D230C8">
        <w:rPr>
          <w:rFonts w:ascii="Calibri" w:hAnsi="Calibri" w:cs="Calibri"/>
          <w:sz w:val="24"/>
          <w:szCs w:val="24"/>
        </w:rPr>
        <w:t>oi verificado algumas inconsistências no PPA, LDO e LOA;</w:t>
      </w:r>
    </w:p>
    <w:p w:rsidR="00D230C8" w:rsidRPr="003D7CEA" w:rsidP="00541A0A" w14:paraId="12F96229" w14:textId="10A58043">
      <w:pPr>
        <w:pStyle w:val="ListParagraph"/>
        <w:numPr>
          <w:ilvl w:val="0"/>
          <w:numId w:val="2"/>
        </w:numPr>
        <w:spacing w:before="240"/>
        <w:textAlignment w:val="baseline"/>
        <w:rPr>
          <w:rFonts w:ascii="Calibri" w:hAnsi="Calibri" w:cs="Calibri"/>
          <w:sz w:val="24"/>
          <w:szCs w:val="24"/>
        </w:rPr>
      </w:pPr>
      <w:r w:rsidRPr="003D7CEA">
        <w:rPr>
          <w:rFonts w:ascii="Calibri" w:hAnsi="Calibri" w:cs="Calibri"/>
          <w:sz w:val="24"/>
          <w:szCs w:val="24"/>
        </w:rPr>
        <w:t>Não atualização dos Planos Municipais de Saneamento Básico e de Gestão Integrada de Resíduos Sólidos.</w:t>
      </w:r>
    </w:p>
    <w:p w:rsidR="00D230C8" w:rsidRPr="00D230C8" w:rsidP="00D230C8" w14:paraId="043789D4" w14:textId="77777777">
      <w:pPr>
        <w:rPr>
          <w:sz w:val="24"/>
          <w:szCs w:val="24"/>
        </w:rPr>
      </w:pPr>
    </w:p>
    <w:p w:rsidR="00D230C8" w:rsidP="00D230C8" w14:paraId="61AF3E12" w14:textId="77777777">
      <w:pPr>
        <w:ind w:firstLine="720"/>
        <w:jc w:val="both"/>
        <w:rPr>
          <w:rFonts w:ascii="Calibri" w:hAnsi="Calibri" w:cs="Calibri"/>
          <w:sz w:val="24"/>
          <w:szCs w:val="24"/>
        </w:rPr>
      </w:pPr>
      <w:r w:rsidRPr="00D230C8">
        <w:rPr>
          <w:rFonts w:ascii="Calibri" w:hAnsi="Calibri" w:cs="Calibri"/>
          <w:sz w:val="24"/>
          <w:szCs w:val="24"/>
        </w:rPr>
        <w:t>A Prefeitura informou que tem tomado providências para sanar os apontamentos, tais como, contração de novos servidores específicos para o planejamento orçamentário e revisão e correção dos indicadores do PPA vigente.</w:t>
      </w:r>
    </w:p>
    <w:p w:rsidR="003D7CEA" w:rsidRPr="00D230C8" w:rsidP="00D230C8" w14:paraId="66D5B3A7" w14:textId="77777777">
      <w:pPr>
        <w:ind w:firstLine="720"/>
        <w:jc w:val="both"/>
        <w:rPr>
          <w:sz w:val="24"/>
          <w:szCs w:val="24"/>
        </w:rPr>
      </w:pPr>
    </w:p>
    <w:p w:rsidR="00D230C8" w:rsidRPr="00D230C8" w:rsidP="00D230C8" w14:paraId="1AED2372" w14:textId="77777777">
      <w:pPr>
        <w:spacing w:before="240"/>
        <w:jc w:val="both"/>
        <w:rPr>
          <w:sz w:val="24"/>
          <w:szCs w:val="24"/>
        </w:rPr>
      </w:pPr>
      <w:r w:rsidRPr="00D230C8">
        <w:rPr>
          <w:rFonts w:ascii="Calibri" w:hAnsi="Calibri" w:cs="Calibri"/>
          <w:b/>
          <w:bCs/>
          <w:sz w:val="24"/>
          <w:szCs w:val="24"/>
        </w:rPr>
        <w:t>IEG-M - I-Fiscal</w:t>
      </w:r>
      <w:r w:rsidRPr="00D230C8">
        <w:rPr>
          <w:rFonts w:ascii="Calibri" w:hAnsi="Calibri" w:cs="Calibri"/>
          <w:b/>
          <w:bCs/>
          <w:sz w:val="24"/>
          <w:szCs w:val="24"/>
          <w:u w:val="single"/>
          <w:shd w:val="clear" w:color="auto" w:fill="FFFFFF"/>
        </w:rPr>
        <w:t> </w:t>
      </w:r>
    </w:p>
    <w:p w:rsidR="003D7CEA" w:rsidP="003D7CEA" w14:paraId="51CAD745" w14:textId="77777777">
      <w:pPr>
        <w:rPr>
          <w:rFonts w:ascii="Calibri" w:hAnsi="Calibri" w:cs="Calibri"/>
          <w:sz w:val="24"/>
          <w:szCs w:val="24"/>
        </w:rPr>
      </w:pPr>
    </w:p>
    <w:p w:rsidR="003D7CEA" w:rsidRPr="003D7CEA" w:rsidP="00541A0A" w14:paraId="1BAFDC68" w14:textId="6B8B30C3">
      <w:pPr>
        <w:pStyle w:val="ListParagraph"/>
        <w:numPr>
          <w:ilvl w:val="0"/>
          <w:numId w:val="3"/>
        </w:numPr>
        <w:rPr>
          <w:rFonts w:ascii="Times New Roman" w:hAnsi="Times New Roman" w:cs="Times New Roman"/>
          <w:sz w:val="24"/>
          <w:szCs w:val="24"/>
        </w:rPr>
      </w:pPr>
      <w:r>
        <w:rPr>
          <w:rFonts w:ascii="Calibri" w:hAnsi="Calibri" w:cs="Calibri"/>
          <w:sz w:val="24"/>
          <w:szCs w:val="24"/>
        </w:rPr>
        <w:t>F</w:t>
      </w:r>
      <w:r w:rsidRPr="003D7CEA" w:rsidR="00D230C8">
        <w:rPr>
          <w:rFonts w:ascii="Calibri" w:hAnsi="Calibri" w:cs="Calibri"/>
          <w:sz w:val="24"/>
          <w:szCs w:val="24"/>
        </w:rPr>
        <w:t>alta de lei que defina a estrutura organizacional da administração tributária</w:t>
      </w:r>
    </w:p>
    <w:p w:rsidR="003D7CEA" w:rsidRPr="003D7CEA" w:rsidP="00541A0A" w14:paraId="14B6A428" w14:textId="3E327829">
      <w:pPr>
        <w:pStyle w:val="ListParagraph"/>
        <w:numPr>
          <w:ilvl w:val="0"/>
          <w:numId w:val="3"/>
        </w:numPr>
        <w:rPr>
          <w:rFonts w:ascii="Times New Roman" w:hAnsi="Times New Roman" w:cs="Times New Roman"/>
          <w:sz w:val="24"/>
          <w:szCs w:val="24"/>
        </w:rPr>
      </w:pPr>
      <w:r>
        <w:rPr>
          <w:rFonts w:ascii="Calibri" w:hAnsi="Calibri" w:cs="Calibri"/>
          <w:sz w:val="24"/>
          <w:szCs w:val="24"/>
        </w:rPr>
        <w:t>F</w:t>
      </w:r>
      <w:r w:rsidRPr="003D7CEA" w:rsidR="00D230C8">
        <w:rPr>
          <w:rFonts w:ascii="Calibri" w:hAnsi="Calibri" w:cs="Calibri"/>
          <w:sz w:val="24"/>
          <w:szCs w:val="24"/>
        </w:rPr>
        <w:t>alta de procedimento de revisão do cadastro imobiliário;</w:t>
      </w:r>
    </w:p>
    <w:p w:rsidR="00D230C8" w:rsidRPr="003D7CEA" w:rsidP="00541A0A" w14:paraId="5950053A" w14:textId="62A81FB8">
      <w:pPr>
        <w:pStyle w:val="ListParagraph"/>
        <w:numPr>
          <w:ilvl w:val="0"/>
          <w:numId w:val="3"/>
        </w:numPr>
        <w:rPr>
          <w:rFonts w:ascii="Times New Roman" w:hAnsi="Times New Roman" w:cs="Times New Roman"/>
          <w:sz w:val="24"/>
          <w:szCs w:val="24"/>
        </w:rPr>
      </w:pPr>
      <w:r>
        <w:rPr>
          <w:rFonts w:ascii="Calibri" w:hAnsi="Calibri" w:cs="Calibri"/>
          <w:sz w:val="24"/>
          <w:szCs w:val="24"/>
        </w:rPr>
        <w:t>Ausê</w:t>
      </w:r>
      <w:r w:rsidRPr="003D7CEA">
        <w:rPr>
          <w:rFonts w:ascii="Calibri" w:hAnsi="Calibri" w:cs="Calibri"/>
          <w:sz w:val="24"/>
          <w:szCs w:val="24"/>
        </w:rPr>
        <w:t>ncia do controle de ações judiciais;</w:t>
      </w:r>
    </w:p>
    <w:p w:rsidR="00D230C8" w:rsidRPr="00D230C8" w:rsidP="00D230C8" w14:paraId="6DE57096" w14:textId="77777777">
      <w:pPr>
        <w:rPr>
          <w:sz w:val="24"/>
          <w:szCs w:val="24"/>
        </w:rPr>
      </w:pPr>
    </w:p>
    <w:p w:rsidR="00D230C8" w:rsidRPr="00D230C8" w:rsidP="00D230C8" w14:paraId="161D27A0" w14:textId="77777777">
      <w:pPr>
        <w:ind w:firstLine="720"/>
        <w:jc w:val="both"/>
        <w:rPr>
          <w:sz w:val="24"/>
          <w:szCs w:val="24"/>
        </w:rPr>
      </w:pPr>
      <w:r w:rsidRPr="00D230C8">
        <w:rPr>
          <w:rFonts w:ascii="Calibri" w:hAnsi="Calibri" w:cs="Calibri"/>
          <w:sz w:val="24"/>
          <w:szCs w:val="24"/>
        </w:rPr>
        <w:t>A Secretaria de Finanças argumenta que no momento está em trâmite a revisão do Código Tributário, assim como, foi contratado um serviço para fornecimento de sistema de controle de ações judiciais.</w:t>
      </w:r>
    </w:p>
    <w:p w:rsidR="00D230C8" w:rsidRPr="00D230C8" w:rsidP="00D230C8" w14:paraId="7785E5C9" w14:textId="77777777">
      <w:pPr>
        <w:rPr>
          <w:sz w:val="24"/>
          <w:szCs w:val="24"/>
        </w:rPr>
      </w:pPr>
    </w:p>
    <w:p w:rsidR="00D230C8" w:rsidRPr="00D230C8" w:rsidP="00D230C8" w14:paraId="66CD46DB" w14:textId="77777777">
      <w:pPr>
        <w:spacing w:before="240"/>
        <w:jc w:val="both"/>
        <w:rPr>
          <w:sz w:val="24"/>
          <w:szCs w:val="24"/>
        </w:rPr>
      </w:pPr>
      <w:r w:rsidRPr="00D230C8">
        <w:rPr>
          <w:rFonts w:ascii="Calibri" w:hAnsi="Calibri" w:cs="Calibri"/>
          <w:b/>
          <w:bCs/>
          <w:sz w:val="24"/>
          <w:szCs w:val="24"/>
        </w:rPr>
        <w:t>IEG-M - I-</w:t>
      </w:r>
      <w:r w:rsidRPr="00D230C8">
        <w:rPr>
          <w:rFonts w:ascii="Calibri" w:hAnsi="Calibri" w:cs="Calibri"/>
          <w:b/>
          <w:bCs/>
          <w:sz w:val="24"/>
          <w:szCs w:val="24"/>
        </w:rPr>
        <w:t>Educ</w:t>
      </w:r>
    </w:p>
    <w:p w:rsidR="003D7CEA" w:rsidP="00541A0A" w14:paraId="096603E2" w14:textId="77777777">
      <w:pPr>
        <w:pStyle w:val="ListParagraph"/>
        <w:numPr>
          <w:ilvl w:val="0"/>
          <w:numId w:val="4"/>
        </w:numPr>
        <w:spacing w:before="240"/>
        <w:jc w:val="both"/>
        <w:textAlignment w:val="baseline"/>
        <w:rPr>
          <w:rFonts w:ascii="Calibri" w:hAnsi="Calibri" w:cs="Calibri"/>
          <w:sz w:val="24"/>
          <w:szCs w:val="24"/>
        </w:rPr>
      </w:pPr>
      <w:r>
        <w:rPr>
          <w:rFonts w:ascii="Calibri" w:hAnsi="Calibri" w:cs="Calibri"/>
          <w:sz w:val="24"/>
          <w:szCs w:val="24"/>
        </w:rPr>
        <w:t>N</w:t>
      </w:r>
      <w:r w:rsidRPr="003D7CEA" w:rsidR="00D230C8">
        <w:rPr>
          <w:rFonts w:ascii="Calibri" w:hAnsi="Calibri" w:cs="Calibri"/>
          <w:sz w:val="24"/>
          <w:szCs w:val="24"/>
        </w:rPr>
        <w:t>ão houve evolução do índice com relação ao exercício anterior;</w:t>
      </w:r>
    </w:p>
    <w:p w:rsidR="003D7CEA" w:rsidP="00541A0A" w14:paraId="6E9A8663" w14:textId="77777777">
      <w:pPr>
        <w:pStyle w:val="ListParagraph"/>
        <w:numPr>
          <w:ilvl w:val="0"/>
          <w:numId w:val="4"/>
        </w:numPr>
        <w:spacing w:before="240"/>
        <w:jc w:val="both"/>
        <w:textAlignment w:val="baseline"/>
        <w:rPr>
          <w:rFonts w:ascii="Calibri" w:hAnsi="Calibri" w:cs="Calibri"/>
          <w:sz w:val="24"/>
          <w:szCs w:val="24"/>
        </w:rPr>
      </w:pPr>
      <w:r>
        <w:rPr>
          <w:rFonts w:ascii="Calibri" w:hAnsi="Calibri" w:cs="Calibri"/>
          <w:sz w:val="24"/>
          <w:szCs w:val="24"/>
        </w:rPr>
        <w:t>A</w:t>
      </w:r>
      <w:r w:rsidRPr="003D7CEA" w:rsidR="00D230C8">
        <w:rPr>
          <w:rFonts w:ascii="Calibri" w:hAnsi="Calibri" w:cs="Calibri"/>
          <w:sz w:val="24"/>
          <w:szCs w:val="24"/>
        </w:rPr>
        <w:t>usência de AVCB em diversas unidades de ensino; </w:t>
      </w:r>
    </w:p>
    <w:p w:rsidR="003D7CEA" w:rsidP="00541A0A" w14:paraId="770290FD" w14:textId="77777777">
      <w:pPr>
        <w:pStyle w:val="ListParagraph"/>
        <w:numPr>
          <w:ilvl w:val="0"/>
          <w:numId w:val="4"/>
        </w:numPr>
        <w:spacing w:before="240"/>
        <w:jc w:val="both"/>
        <w:textAlignment w:val="baseline"/>
        <w:rPr>
          <w:rFonts w:ascii="Calibri" w:hAnsi="Calibri" w:cs="Calibri"/>
          <w:sz w:val="24"/>
          <w:szCs w:val="24"/>
        </w:rPr>
      </w:pPr>
      <w:r w:rsidRPr="003D7CEA">
        <w:rPr>
          <w:rFonts w:ascii="Calibri" w:hAnsi="Calibri" w:cs="Calibri"/>
          <w:sz w:val="24"/>
          <w:szCs w:val="24"/>
        </w:rPr>
        <w:t>A</w:t>
      </w:r>
      <w:r w:rsidRPr="003D7CEA" w:rsidR="00D230C8">
        <w:rPr>
          <w:rFonts w:ascii="Calibri" w:hAnsi="Calibri" w:cs="Calibri"/>
          <w:sz w:val="24"/>
          <w:szCs w:val="24"/>
        </w:rPr>
        <w:t xml:space="preserve"> rede municipal não está atendendo o percentual mínimo de 25% dos alunos em período integral;</w:t>
      </w:r>
    </w:p>
    <w:p w:rsidR="003D7CEA" w:rsidP="00541A0A" w14:paraId="3D3E573A" w14:textId="77777777">
      <w:pPr>
        <w:pStyle w:val="ListParagraph"/>
        <w:numPr>
          <w:ilvl w:val="0"/>
          <w:numId w:val="4"/>
        </w:numPr>
        <w:spacing w:before="240"/>
        <w:jc w:val="both"/>
        <w:textAlignment w:val="baseline"/>
        <w:rPr>
          <w:rFonts w:ascii="Calibri" w:hAnsi="Calibri" w:cs="Calibri"/>
          <w:sz w:val="24"/>
          <w:szCs w:val="24"/>
        </w:rPr>
      </w:pPr>
      <w:r>
        <w:rPr>
          <w:rFonts w:ascii="Calibri" w:hAnsi="Calibri" w:cs="Calibri"/>
          <w:sz w:val="24"/>
          <w:szCs w:val="24"/>
        </w:rPr>
        <w:t>N</w:t>
      </w:r>
      <w:r w:rsidRPr="003D7CEA" w:rsidR="00D230C8">
        <w:rPr>
          <w:rFonts w:ascii="Calibri" w:hAnsi="Calibri" w:cs="Calibri"/>
          <w:sz w:val="24"/>
          <w:szCs w:val="24"/>
        </w:rPr>
        <w:t>ão há regulamento que discipline a forma de acesso ao ensino integral, assim como, garantam a educação para pessoas com deficiência ou transtornos globais;</w:t>
      </w:r>
    </w:p>
    <w:p w:rsidR="003D7CEA" w:rsidP="00541A0A" w14:paraId="5DFF5665" w14:textId="77777777">
      <w:pPr>
        <w:pStyle w:val="ListParagraph"/>
        <w:numPr>
          <w:ilvl w:val="0"/>
          <w:numId w:val="4"/>
        </w:numPr>
        <w:spacing w:before="240"/>
        <w:jc w:val="both"/>
        <w:textAlignment w:val="baseline"/>
        <w:rPr>
          <w:rFonts w:ascii="Calibri" w:hAnsi="Calibri" w:cs="Calibri"/>
          <w:sz w:val="24"/>
          <w:szCs w:val="24"/>
        </w:rPr>
      </w:pPr>
      <w:r>
        <w:rPr>
          <w:rFonts w:ascii="Calibri" w:hAnsi="Calibri" w:cs="Calibri"/>
          <w:sz w:val="24"/>
          <w:szCs w:val="24"/>
        </w:rPr>
        <w:t>A</w:t>
      </w:r>
      <w:r w:rsidRPr="003D7CEA" w:rsidR="00D230C8">
        <w:rPr>
          <w:rFonts w:ascii="Calibri" w:hAnsi="Calibri" w:cs="Calibri"/>
          <w:sz w:val="24"/>
          <w:szCs w:val="24"/>
        </w:rPr>
        <w:t>s peças orçamentárias não possuem ações com metas e indicadores para ampliação da educação em tempo integral;</w:t>
      </w:r>
    </w:p>
    <w:p w:rsidR="003D7CEA" w:rsidP="00541A0A" w14:paraId="70AD6507" w14:textId="77777777">
      <w:pPr>
        <w:pStyle w:val="ListParagraph"/>
        <w:numPr>
          <w:ilvl w:val="0"/>
          <w:numId w:val="4"/>
        </w:numPr>
        <w:spacing w:before="240"/>
        <w:jc w:val="both"/>
        <w:textAlignment w:val="baseline"/>
        <w:rPr>
          <w:rFonts w:ascii="Calibri" w:hAnsi="Calibri" w:cs="Calibri"/>
          <w:sz w:val="24"/>
          <w:szCs w:val="24"/>
        </w:rPr>
      </w:pPr>
      <w:r w:rsidRPr="003D7CEA">
        <w:rPr>
          <w:rFonts w:ascii="Calibri" w:hAnsi="Calibri" w:cs="Calibri"/>
          <w:sz w:val="24"/>
          <w:szCs w:val="24"/>
        </w:rPr>
        <w:t>falhas</w:t>
      </w:r>
      <w:r w:rsidRPr="003D7CEA">
        <w:rPr>
          <w:rFonts w:ascii="Calibri" w:hAnsi="Calibri" w:cs="Calibri"/>
          <w:sz w:val="24"/>
          <w:szCs w:val="24"/>
        </w:rPr>
        <w:t xml:space="preserve"> estruturais em algumas unidade de ensino como: </w:t>
      </w:r>
      <w:r w:rsidRPr="003D7CEA">
        <w:rPr>
          <w:rFonts w:ascii="Calibri" w:hAnsi="Calibri" w:cs="Calibri"/>
          <w:sz w:val="24"/>
          <w:szCs w:val="24"/>
        </w:rPr>
        <w:t>EMEBs</w:t>
      </w:r>
      <w:r w:rsidRPr="003D7CEA">
        <w:rPr>
          <w:rFonts w:ascii="Calibri" w:hAnsi="Calibri" w:cs="Calibri"/>
          <w:sz w:val="24"/>
          <w:szCs w:val="24"/>
        </w:rPr>
        <w:t xml:space="preserve"> Prefeito Adib </w:t>
      </w:r>
      <w:r w:rsidRPr="003D7CEA">
        <w:rPr>
          <w:rFonts w:ascii="Calibri" w:hAnsi="Calibri" w:cs="Calibri"/>
          <w:sz w:val="24"/>
          <w:szCs w:val="24"/>
        </w:rPr>
        <w:t>Chaib</w:t>
      </w:r>
      <w:r w:rsidRPr="003D7CEA">
        <w:rPr>
          <w:rFonts w:ascii="Calibri" w:hAnsi="Calibri" w:cs="Calibri"/>
          <w:sz w:val="24"/>
          <w:szCs w:val="24"/>
        </w:rPr>
        <w:t xml:space="preserve">, Professora Ana Isabel da Costa Ferreira, </w:t>
      </w:r>
      <w:r w:rsidRPr="003D7CEA">
        <w:rPr>
          <w:rFonts w:ascii="Calibri" w:hAnsi="Calibri" w:cs="Calibri"/>
          <w:sz w:val="24"/>
          <w:szCs w:val="24"/>
        </w:rPr>
        <w:t>REgina</w:t>
      </w:r>
      <w:r w:rsidRPr="003D7CEA">
        <w:rPr>
          <w:rFonts w:ascii="Calibri" w:hAnsi="Calibri" w:cs="Calibri"/>
          <w:sz w:val="24"/>
          <w:szCs w:val="24"/>
        </w:rPr>
        <w:t xml:space="preserve"> Maria Tucci de Campo e Cleusa Marilene Vieira de Mello;</w:t>
      </w:r>
    </w:p>
    <w:p w:rsidR="00D230C8" w:rsidRPr="003D7CEA" w:rsidP="00541A0A" w14:paraId="3ECFF89D" w14:textId="4709A71E">
      <w:pPr>
        <w:pStyle w:val="ListParagraph"/>
        <w:numPr>
          <w:ilvl w:val="0"/>
          <w:numId w:val="4"/>
        </w:numPr>
        <w:spacing w:before="240"/>
        <w:jc w:val="both"/>
        <w:textAlignment w:val="baseline"/>
        <w:rPr>
          <w:rFonts w:ascii="Calibri" w:hAnsi="Calibri" w:cs="Calibri"/>
          <w:sz w:val="24"/>
          <w:szCs w:val="24"/>
        </w:rPr>
      </w:pPr>
      <w:r w:rsidRPr="003D7CEA">
        <w:rPr>
          <w:rFonts w:ascii="Calibri" w:hAnsi="Calibri" w:cs="Calibri"/>
          <w:sz w:val="24"/>
          <w:szCs w:val="24"/>
        </w:rPr>
        <w:t>baixa</w:t>
      </w:r>
      <w:r w:rsidRPr="003D7CEA">
        <w:rPr>
          <w:rFonts w:ascii="Calibri" w:hAnsi="Calibri" w:cs="Calibri"/>
          <w:sz w:val="24"/>
          <w:szCs w:val="24"/>
        </w:rPr>
        <w:t xml:space="preserve"> classificação no índice de alfabetização infantil;</w:t>
      </w:r>
    </w:p>
    <w:p w:rsidR="00D230C8" w:rsidRPr="00D230C8" w:rsidP="00D230C8" w14:paraId="4B816518" w14:textId="77777777">
      <w:pPr>
        <w:spacing w:before="240"/>
        <w:ind w:firstLine="720"/>
        <w:jc w:val="both"/>
        <w:rPr>
          <w:sz w:val="24"/>
          <w:szCs w:val="24"/>
        </w:rPr>
      </w:pPr>
      <w:r w:rsidRPr="00D230C8">
        <w:rPr>
          <w:rFonts w:ascii="Calibri" w:hAnsi="Calibri" w:cs="Calibri"/>
          <w:sz w:val="24"/>
          <w:szCs w:val="24"/>
        </w:rPr>
        <w:t>A Secretaria Municipal de Educação alegou que está se esforçando para solucionar as questões burocráticas envolvidas na obtenção dos AVCB; Sobre a melhoria e ampliação do serviço de educação integral, está revisando as metas para inclusão no próximo PPA. Ainda argumenta que formalizou adesão ao Compromisso Nacional da Criança Alfabetizada e programa estadual Alfabetiza Juntos SP, no intuito de melhorar os índices de alfabetização infantil.</w:t>
      </w:r>
    </w:p>
    <w:p w:rsidR="00D230C8" w:rsidP="00D230C8" w14:paraId="3E101D30" w14:textId="77777777">
      <w:pPr>
        <w:rPr>
          <w:sz w:val="24"/>
          <w:szCs w:val="24"/>
        </w:rPr>
      </w:pPr>
    </w:p>
    <w:p w:rsidR="003D7CEA" w:rsidP="00D230C8" w14:paraId="585D0130" w14:textId="77777777">
      <w:pPr>
        <w:rPr>
          <w:sz w:val="24"/>
          <w:szCs w:val="24"/>
        </w:rPr>
      </w:pPr>
    </w:p>
    <w:p w:rsidR="003D7CEA" w:rsidRPr="00D230C8" w:rsidP="00D230C8" w14:paraId="03037FBC" w14:textId="77777777">
      <w:pPr>
        <w:rPr>
          <w:sz w:val="24"/>
          <w:szCs w:val="24"/>
        </w:rPr>
      </w:pPr>
    </w:p>
    <w:p w:rsidR="003D7CEA" w:rsidP="003D7CEA" w14:paraId="3B8E4F67" w14:textId="77777777">
      <w:pPr>
        <w:spacing w:before="240"/>
        <w:jc w:val="both"/>
        <w:rPr>
          <w:sz w:val="24"/>
          <w:szCs w:val="24"/>
        </w:rPr>
      </w:pPr>
      <w:r w:rsidRPr="00D230C8">
        <w:rPr>
          <w:rFonts w:ascii="Calibri" w:hAnsi="Calibri" w:cs="Calibri"/>
          <w:b/>
          <w:bCs/>
          <w:sz w:val="24"/>
          <w:szCs w:val="24"/>
        </w:rPr>
        <w:t>IEG-M - I-Saúde</w:t>
      </w:r>
    </w:p>
    <w:p w:rsidR="003D7CEA" w:rsidRPr="003D7CEA" w:rsidP="00541A0A" w14:paraId="7982BEFF" w14:textId="77777777">
      <w:pPr>
        <w:pStyle w:val="ListParagraph"/>
        <w:numPr>
          <w:ilvl w:val="0"/>
          <w:numId w:val="5"/>
        </w:numPr>
        <w:spacing w:before="240"/>
        <w:jc w:val="both"/>
        <w:rPr>
          <w:rFonts w:ascii="Times New Roman" w:hAnsi="Times New Roman" w:cs="Times New Roman"/>
          <w:sz w:val="24"/>
          <w:szCs w:val="24"/>
        </w:rPr>
      </w:pPr>
      <w:r>
        <w:rPr>
          <w:rFonts w:ascii="Calibri" w:hAnsi="Calibri" w:cs="Calibri"/>
          <w:sz w:val="24"/>
          <w:szCs w:val="24"/>
        </w:rPr>
        <w:t>I</w:t>
      </w:r>
      <w:r w:rsidRPr="003D7CEA" w:rsidR="00D230C8">
        <w:rPr>
          <w:rFonts w:ascii="Calibri" w:hAnsi="Calibri" w:cs="Calibri"/>
          <w:sz w:val="24"/>
          <w:szCs w:val="24"/>
        </w:rPr>
        <w:t>nadequações decorrentes dos quesitos desta dimensão, com destaque para o fato de que nenhuma das unidades básicas de saúde tem AVCB;</w:t>
      </w:r>
    </w:p>
    <w:p w:rsidR="003D7CEA" w:rsidRPr="003D7CEA" w:rsidP="00541A0A" w14:paraId="3ACAE1CF" w14:textId="77777777">
      <w:pPr>
        <w:pStyle w:val="ListParagraph"/>
        <w:numPr>
          <w:ilvl w:val="0"/>
          <w:numId w:val="5"/>
        </w:numPr>
        <w:spacing w:before="240"/>
        <w:jc w:val="both"/>
        <w:rPr>
          <w:rFonts w:ascii="Times New Roman" w:hAnsi="Times New Roman" w:cs="Times New Roman"/>
          <w:sz w:val="24"/>
          <w:szCs w:val="24"/>
        </w:rPr>
      </w:pPr>
      <w:r w:rsidRPr="003D7CEA">
        <w:rPr>
          <w:rFonts w:ascii="Calibri" w:hAnsi="Calibri" w:cs="Calibri"/>
          <w:sz w:val="24"/>
          <w:szCs w:val="24"/>
        </w:rPr>
        <w:t>N</w:t>
      </w:r>
      <w:r w:rsidRPr="003D7CEA" w:rsidR="00D230C8">
        <w:rPr>
          <w:rFonts w:ascii="Calibri" w:hAnsi="Calibri" w:cs="Calibri"/>
          <w:sz w:val="24"/>
          <w:szCs w:val="24"/>
        </w:rPr>
        <w:t>ão há Plano de Carreira específica para os profissionais de saúde;</w:t>
      </w:r>
    </w:p>
    <w:p w:rsidR="003D7CEA" w:rsidRPr="003D7CEA" w:rsidP="00541A0A" w14:paraId="480F41A0" w14:textId="77777777">
      <w:pPr>
        <w:pStyle w:val="ListParagraph"/>
        <w:numPr>
          <w:ilvl w:val="0"/>
          <w:numId w:val="5"/>
        </w:numPr>
        <w:spacing w:before="240"/>
        <w:jc w:val="both"/>
        <w:rPr>
          <w:rFonts w:ascii="Times New Roman" w:hAnsi="Times New Roman" w:cs="Times New Roman"/>
          <w:sz w:val="24"/>
          <w:szCs w:val="24"/>
        </w:rPr>
      </w:pPr>
      <w:r w:rsidRPr="003D7CEA">
        <w:rPr>
          <w:rFonts w:ascii="Calibri" w:hAnsi="Calibri" w:cs="Calibri"/>
          <w:sz w:val="24"/>
          <w:szCs w:val="24"/>
        </w:rPr>
        <w:t>F</w:t>
      </w:r>
      <w:r w:rsidRPr="003D7CEA" w:rsidR="00D230C8">
        <w:rPr>
          <w:rFonts w:ascii="Calibri" w:hAnsi="Calibri" w:cs="Calibri"/>
          <w:sz w:val="24"/>
          <w:szCs w:val="24"/>
        </w:rPr>
        <w:t>alta de alguns medicamentos durante o exercício;</w:t>
      </w:r>
    </w:p>
    <w:p w:rsidR="003D7CEA" w:rsidRPr="003D7CEA" w:rsidP="00541A0A" w14:paraId="45577A7C" w14:textId="77777777">
      <w:pPr>
        <w:pStyle w:val="ListParagraph"/>
        <w:numPr>
          <w:ilvl w:val="0"/>
          <w:numId w:val="5"/>
        </w:numPr>
        <w:spacing w:before="240"/>
        <w:jc w:val="both"/>
        <w:rPr>
          <w:rFonts w:ascii="Times New Roman" w:hAnsi="Times New Roman" w:cs="Times New Roman"/>
          <w:sz w:val="24"/>
          <w:szCs w:val="24"/>
        </w:rPr>
      </w:pPr>
      <w:r w:rsidRPr="003D7CEA">
        <w:rPr>
          <w:rFonts w:ascii="Calibri" w:hAnsi="Calibri" w:cs="Calibri"/>
          <w:sz w:val="24"/>
          <w:szCs w:val="24"/>
        </w:rPr>
        <w:t>F</w:t>
      </w:r>
      <w:r w:rsidRPr="003D7CEA" w:rsidR="00D230C8">
        <w:rPr>
          <w:rFonts w:ascii="Calibri" w:hAnsi="Calibri" w:cs="Calibri"/>
          <w:sz w:val="24"/>
          <w:szCs w:val="24"/>
        </w:rPr>
        <w:t>alhas estruturais em algumas ESFs;</w:t>
      </w:r>
    </w:p>
    <w:p w:rsidR="003D7CEA" w:rsidRPr="003D7CEA" w:rsidP="00541A0A" w14:paraId="52EBDC68" w14:textId="77777777">
      <w:pPr>
        <w:pStyle w:val="ListParagraph"/>
        <w:numPr>
          <w:ilvl w:val="0"/>
          <w:numId w:val="5"/>
        </w:numPr>
        <w:spacing w:before="240"/>
        <w:jc w:val="both"/>
        <w:rPr>
          <w:rFonts w:ascii="Times New Roman" w:hAnsi="Times New Roman" w:cs="Times New Roman"/>
          <w:sz w:val="24"/>
          <w:szCs w:val="24"/>
        </w:rPr>
      </w:pPr>
      <w:r w:rsidRPr="003D7CEA">
        <w:rPr>
          <w:rFonts w:ascii="Calibri" w:hAnsi="Calibri" w:cs="Calibri"/>
          <w:sz w:val="24"/>
          <w:szCs w:val="24"/>
        </w:rPr>
        <w:t>D</w:t>
      </w:r>
      <w:r w:rsidRPr="003D7CEA" w:rsidR="00D230C8">
        <w:rPr>
          <w:rFonts w:ascii="Calibri" w:hAnsi="Calibri" w:cs="Calibri"/>
          <w:sz w:val="24"/>
          <w:szCs w:val="24"/>
        </w:rPr>
        <w:t>emanda reprimida de consultas e de cirurgias eletivas;</w:t>
      </w:r>
    </w:p>
    <w:p w:rsidR="003D7CEA" w:rsidRPr="003D7CEA" w:rsidP="00541A0A" w14:paraId="68878696" w14:textId="77777777">
      <w:pPr>
        <w:pStyle w:val="ListParagraph"/>
        <w:numPr>
          <w:ilvl w:val="0"/>
          <w:numId w:val="5"/>
        </w:numPr>
        <w:spacing w:before="240"/>
        <w:jc w:val="both"/>
        <w:rPr>
          <w:rFonts w:ascii="Times New Roman" w:hAnsi="Times New Roman" w:cs="Times New Roman"/>
          <w:sz w:val="24"/>
          <w:szCs w:val="24"/>
        </w:rPr>
      </w:pPr>
      <w:r>
        <w:rPr>
          <w:rFonts w:ascii="Calibri" w:hAnsi="Calibri" w:cs="Calibri"/>
          <w:sz w:val="24"/>
          <w:szCs w:val="24"/>
        </w:rPr>
        <w:t>E</w:t>
      </w:r>
      <w:r w:rsidRPr="003D7CEA" w:rsidR="00D230C8">
        <w:rPr>
          <w:rFonts w:ascii="Calibri" w:hAnsi="Calibri" w:cs="Calibri"/>
          <w:sz w:val="24"/>
          <w:szCs w:val="24"/>
        </w:rPr>
        <w:t>quipamentos odontológicos quebrados;</w:t>
      </w:r>
    </w:p>
    <w:p w:rsidR="003D7CEA" w:rsidRPr="003D7CEA" w:rsidP="00541A0A" w14:paraId="0926871A" w14:textId="77777777">
      <w:pPr>
        <w:pStyle w:val="ListParagraph"/>
        <w:numPr>
          <w:ilvl w:val="0"/>
          <w:numId w:val="5"/>
        </w:numPr>
        <w:spacing w:before="240"/>
        <w:jc w:val="both"/>
        <w:rPr>
          <w:rFonts w:ascii="Times New Roman" w:hAnsi="Times New Roman" w:cs="Times New Roman"/>
          <w:sz w:val="24"/>
          <w:szCs w:val="24"/>
        </w:rPr>
      </w:pPr>
      <w:r w:rsidRPr="003D7CEA">
        <w:rPr>
          <w:rFonts w:ascii="Calibri" w:hAnsi="Calibri" w:cs="Calibri"/>
          <w:sz w:val="24"/>
          <w:szCs w:val="24"/>
        </w:rPr>
        <w:t>M</w:t>
      </w:r>
      <w:r w:rsidRPr="003D7CEA" w:rsidR="00D230C8">
        <w:rPr>
          <w:rFonts w:ascii="Calibri" w:hAnsi="Calibri" w:cs="Calibri"/>
          <w:sz w:val="24"/>
          <w:szCs w:val="24"/>
        </w:rPr>
        <w:t>unicípio não atingiu a cobertura vacinal</w:t>
      </w:r>
    </w:p>
    <w:p w:rsidR="00D230C8" w:rsidRPr="003D7CEA" w:rsidP="00541A0A" w14:paraId="3286B517" w14:textId="2619A5B9">
      <w:pPr>
        <w:pStyle w:val="ListParagraph"/>
        <w:numPr>
          <w:ilvl w:val="0"/>
          <w:numId w:val="5"/>
        </w:numPr>
        <w:spacing w:before="240"/>
        <w:jc w:val="both"/>
        <w:rPr>
          <w:rFonts w:ascii="Times New Roman" w:hAnsi="Times New Roman" w:cs="Times New Roman"/>
          <w:sz w:val="24"/>
          <w:szCs w:val="24"/>
        </w:rPr>
      </w:pPr>
      <w:r w:rsidRPr="003D7CEA">
        <w:rPr>
          <w:rFonts w:ascii="Calibri" w:hAnsi="Calibri" w:cs="Calibri"/>
          <w:sz w:val="24"/>
          <w:szCs w:val="24"/>
        </w:rPr>
        <w:t>F</w:t>
      </w:r>
      <w:r w:rsidRPr="003D7CEA">
        <w:rPr>
          <w:rFonts w:ascii="Calibri" w:hAnsi="Calibri" w:cs="Calibri"/>
          <w:sz w:val="24"/>
          <w:szCs w:val="24"/>
        </w:rPr>
        <w:t>oi verificado melhorias na estrutura da Santa Casa de Misericórdia, entretanto, ainda necessitando de ações de manutenção;</w:t>
      </w:r>
    </w:p>
    <w:p w:rsidR="00D230C8" w:rsidRPr="00D230C8" w:rsidP="00D230C8" w14:paraId="74DE0FF7" w14:textId="77777777">
      <w:pPr>
        <w:spacing w:before="240"/>
        <w:ind w:firstLine="720"/>
        <w:jc w:val="both"/>
        <w:rPr>
          <w:sz w:val="24"/>
          <w:szCs w:val="24"/>
        </w:rPr>
      </w:pPr>
      <w:r w:rsidRPr="00D230C8">
        <w:rPr>
          <w:rFonts w:ascii="Calibri" w:hAnsi="Calibri" w:cs="Calibri"/>
          <w:sz w:val="24"/>
          <w:szCs w:val="24"/>
        </w:rPr>
        <w:t>A prefeitura informou que atualmente as 13 Unidades Básicas de Saúde e o Pronto Atendimento já possuem o AVCB.  Com relação à demanda reprimida, reconhece que o volume ainda é alto, mas que até o final de 2024 seria sanado. Por fim, informou que tem investido constantemente na estrutura da Santa Casa, com a troca de equipamento e reforma da rede elétrica.</w:t>
      </w:r>
    </w:p>
    <w:p w:rsidR="00D230C8" w:rsidRPr="00D230C8" w:rsidP="00D230C8" w14:paraId="0617640E" w14:textId="77777777">
      <w:pPr>
        <w:rPr>
          <w:sz w:val="24"/>
          <w:szCs w:val="24"/>
        </w:rPr>
      </w:pPr>
    </w:p>
    <w:p w:rsidR="00D230C8" w:rsidP="00D230C8" w14:paraId="4B1304F3" w14:textId="77777777">
      <w:pPr>
        <w:spacing w:before="240"/>
        <w:jc w:val="both"/>
        <w:rPr>
          <w:rFonts w:ascii="Calibri" w:hAnsi="Calibri" w:cs="Calibri"/>
          <w:b/>
          <w:bCs/>
          <w:sz w:val="24"/>
          <w:szCs w:val="24"/>
        </w:rPr>
      </w:pPr>
      <w:r w:rsidRPr="00D230C8">
        <w:rPr>
          <w:rFonts w:ascii="Calibri" w:hAnsi="Calibri" w:cs="Calibri"/>
          <w:b/>
          <w:bCs/>
          <w:sz w:val="24"/>
          <w:szCs w:val="24"/>
        </w:rPr>
        <w:t xml:space="preserve">IEG-M - </w:t>
      </w:r>
      <w:r w:rsidRPr="00D230C8">
        <w:rPr>
          <w:rFonts w:ascii="Calibri" w:hAnsi="Calibri" w:cs="Calibri"/>
          <w:b/>
          <w:bCs/>
          <w:sz w:val="24"/>
          <w:szCs w:val="24"/>
        </w:rPr>
        <w:t>I-Amb</w:t>
      </w:r>
    </w:p>
    <w:p w:rsidR="003D7CEA" w:rsidRPr="00D230C8" w:rsidP="00D230C8" w14:paraId="6DA96A8B" w14:textId="77777777">
      <w:pPr>
        <w:spacing w:before="240"/>
        <w:jc w:val="both"/>
        <w:rPr>
          <w:sz w:val="24"/>
          <w:szCs w:val="24"/>
        </w:rPr>
      </w:pPr>
    </w:p>
    <w:p w:rsidR="003D7CEA" w:rsidRPr="003D7CEA" w:rsidP="00541A0A" w14:paraId="5D39EA5C" w14:textId="77777777">
      <w:pPr>
        <w:pStyle w:val="ListParagraph"/>
        <w:numPr>
          <w:ilvl w:val="0"/>
          <w:numId w:val="6"/>
        </w:numPr>
        <w:jc w:val="both"/>
        <w:textAlignment w:val="baseline"/>
        <w:rPr>
          <w:rFonts w:ascii="Calibri" w:hAnsi="Calibri" w:cs="Calibri"/>
          <w:b/>
          <w:bCs/>
          <w:sz w:val="24"/>
          <w:szCs w:val="24"/>
        </w:rPr>
      </w:pPr>
      <w:r w:rsidRPr="003D7CEA">
        <w:rPr>
          <w:rFonts w:ascii="Calibri" w:hAnsi="Calibri" w:cs="Calibri"/>
          <w:sz w:val="24"/>
          <w:szCs w:val="24"/>
        </w:rPr>
        <w:t>Houve um aumento no índice do exercício anterior;</w:t>
      </w:r>
    </w:p>
    <w:p w:rsidR="003D7CEA" w:rsidRPr="003D7CEA" w:rsidP="00541A0A" w14:paraId="47B6F356" w14:textId="77777777">
      <w:pPr>
        <w:pStyle w:val="ListParagraph"/>
        <w:numPr>
          <w:ilvl w:val="0"/>
          <w:numId w:val="6"/>
        </w:numPr>
        <w:jc w:val="both"/>
        <w:textAlignment w:val="baseline"/>
        <w:rPr>
          <w:rFonts w:ascii="Calibri" w:hAnsi="Calibri" w:cs="Calibri"/>
          <w:b/>
          <w:bCs/>
          <w:sz w:val="24"/>
          <w:szCs w:val="24"/>
        </w:rPr>
      </w:pPr>
      <w:r w:rsidRPr="003D7CEA">
        <w:rPr>
          <w:rFonts w:ascii="Calibri" w:hAnsi="Calibri" w:cs="Calibri"/>
          <w:sz w:val="24"/>
          <w:szCs w:val="24"/>
        </w:rPr>
        <w:t>Prefeitura Municipal realiza a coleta seletiva resíduos sólidos, porém somente de galhos e inservíveis e não de resíduos recicláveis; </w:t>
      </w:r>
    </w:p>
    <w:p w:rsidR="003D7CEA" w:rsidRPr="003D7CEA" w:rsidP="00541A0A" w14:paraId="359B73B4" w14:textId="77777777">
      <w:pPr>
        <w:pStyle w:val="ListParagraph"/>
        <w:numPr>
          <w:ilvl w:val="0"/>
          <w:numId w:val="6"/>
        </w:numPr>
        <w:jc w:val="both"/>
        <w:textAlignment w:val="baseline"/>
        <w:rPr>
          <w:rFonts w:ascii="Calibri" w:hAnsi="Calibri" w:cs="Calibri"/>
          <w:b/>
          <w:bCs/>
          <w:sz w:val="24"/>
          <w:szCs w:val="24"/>
        </w:rPr>
      </w:pPr>
      <w:r>
        <w:rPr>
          <w:rFonts w:ascii="Calibri" w:hAnsi="Calibri" w:cs="Calibri"/>
          <w:sz w:val="24"/>
          <w:szCs w:val="24"/>
        </w:rPr>
        <w:t>Á</w:t>
      </w:r>
      <w:r w:rsidRPr="003D7CEA" w:rsidR="00D230C8">
        <w:rPr>
          <w:rFonts w:ascii="Calibri" w:hAnsi="Calibri" w:cs="Calibri"/>
          <w:sz w:val="24"/>
          <w:szCs w:val="24"/>
        </w:rPr>
        <w:t>reas com descarte irregular de resíduos;</w:t>
      </w:r>
    </w:p>
    <w:p w:rsidR="00D230C8" w:rsidRPr="003D7CEA" w:rsidP="00541A0A" w14:paraId="32E3F192" w14:textId="27B27E22">
      <w:pPr>
        <w:pStyle w:val="ListParagraph"/>
        <w:numPr>
          <w:ilvl w:val="0"/>
          <w:numId w:val="6"/>
        </w:numPr>
        <w:jc w:val="both"/>
        <w:textAlignment w:val="baseline"/>
        <w:rPr>
          <w:rFonts w:ascii="Calibri" w:hAnsi="Calibri" w:cs="Calibri"/>
          <w:b/>
          <w:bCs/>
          <w:sz w:val="24"/>
          <w:szCs w:val="24"/>
        </w:rPr>
      </w:pPr>
      <w:r w:rsidRPr="003D7CEA">
        <w:rPr>
          <w:rFonts w:ascii="Calibri" w:hAnsi="Calibri" w:cs="Calibri"/>
          <w:sz w:val="24"/>
          <w:szCs w:val="24"/>
        </w:rPr>
        <w:t>Verificação de falhas em alguns contratos com o Terceiro Setor.</w:t>
      </w:r>
    </w:p>
    <w:p w:rsidR="00D230C8" w:rsidP="00D230C8" w14:paraId="6DB7378B" w14:textId="0CCD1734">
      <w:pPr>
        <w:spacing w:before="240"/>
        <w:ind w:firstLine="720"/>
        <w:jc w:val="both"/>
        <w:rPr>
          <w:rFonts w:ascii="Calibri" w:hAnsi="Calibri" w:cs="Calibri"/>
          <w:sz w:val="24"/>
          <w:szCs w:val="24"/>
        </w:rPr>
      </w:pPr>
      <w:r w:rsidRPr="00D230C8">
        <w:rPr>
          <w:rFonts w:ascii="Calibri" w:hAnsi="Calibri" w:cs="Calibri"/>
          <w:sz w:val="24"/>
          <w:szCs w:val="24"/>
        </w:rPr>
        <w:t>De acordo com a secretaria competente, o novo plano de saneamento bási</w:t>
      </w:r>
      <w:r w:rsidR="003D7CEA">
        <w:rPr>
          <w:rFonts w:ascii="Calibri" w:hAnsi="Calibri" w:cs="Calibri"/>
          <w:sz w:val="24"/>
          <w:szCs w:val="24"/>
        </w:rPr>
        <w:t>co irá contemplar ações e metas</w:t>
      </w:r>
      <w:r w:rsidRPr="00D230C8">
        <w:rPr>
          <w:rFonts w:ascii="Calibri" w:hAnsi="Calibri" w:cs="Calibri"/>
          <w:sz w:val="24"/>
          <w:szCs w:val="24"/>
        </w:rPr>
        <w:t xml:space="preserve"> para solução de alguns apontamentos. Argumenta que existe um ponto de recebimento de resíduos recicláveis sobre administração de uma cooperativa. Finalizou informando que a secretaria juntamente com outras pastas da administração tem realizado constantes fiscalizações nas áreas costumeiramente indicadas com descarte irregular.</w:t>
      </w:r>
    </w:p>
    <w:p w:rsidR="00A42508" w:rsidP="00D230C8" w14:paraId="172DC955" w14:textId="77777777">
      <w:pPr>
        <w:spacing w:before="240"/>
        <w:jc w:val="both"/>
        <w:rPr>
          <w:rFonts w:ascii="Calibri" w:hAnsi="Calibri" w:cs="Calibri"/>
          <w:b/>
          <w:bCs/>
          <w:sz w:val="24"/>
          <w:szCs w:val="24"/>
        </w:rPr>
      </w:pPr>
    </w:p>
    <w:p w:rsidR="00D230C8" w:rsidRPr="00D230C8" w:rsidP="00D230C8" w14:paraId="28DAB09B" w14:textId="77777777">
      <w:pPr>
        <w:spacing w:before="240"/>
        <w:jc w:val="both"/>
        <w:rPr>
          <w:sz w:val="24"/>
          <w:szCs w:val="24"/>
        </w:rPr>
      </w:pPr>
      <w:r w:rsidRPr="00D230C8">
        <w:rPr>
          <w:rFonts w:ascii="Calibri" w:hAnsi="Calibri" w:cs="Calibri"/>
          <w:b/>
          <w:bCs/>
          <w:sz w:val="24"/>
          <w:szCs w:val="24"/>
        </w:rPr>
        <w:t>IEG-M - I-Cidade</w:t>
      </w:r>
    </w:p>
    <w:p w:rsidR="00D230C8" w:rsidRPr="003D7CEA" w:rsidP="00541A0A" w14:paraId="68B5ED5E" w14:textId="08460FB7">
      <w:pPr>
        <w:pStyle w:val="ListParagraph"/>
        <w:numPr>
          <w:ilvl w:val="0"/>
          <w:numId w:val="7"/>
        </w:numPr>
        <w:spacing w:before="240"/>
        <w:jc w:val="both"/>
        <w:textAlignment w:val="baseline"/>
        <w:rPr>
          <w:rFonts w:ascii="Calibri" w:hAnsi="Calibri" w:cs="Calibri"/>
          <w:sz w:val="24"/>
          <w:szCs w:val="24"/>
        </w:rPr>
      </w:pPr>
      <w:r w:rsidRPr="003D7CEA">
        <w:rPr>
          <w:rFonts w:ascii="Calibri" w:hAnsi="Calibri" w:cs="Calibri"/>
          <w:sz w:val="24"/>
          <w:szCs w:val="24"/>
          <w:shd w:val="clear" w:color="auto" w:fill="FFFFFF"/>
        </w:rPr>
        <w:t>V</w:t>
      </w:r>
      <w:r w:rsidRPr="003D7CEA">
        <w:rPr>
          <w:rFonts w:ascii="Calibri" w:hAnsi="Calibri" w:cs="Calibri"/>
          <w:sz w:val="24"/>
          <w:szCs w:val="24"/>
          <w:shd w:val="clear" w:color="auto" w:fill="FFFFFF"/>
        </w:rPr>
        <w:t>erificado apenas falhar/irregularidade em 2 contratos.</w:t>
      </w:r>
    </w:p>
    <w:p w:rsidR="00A42508" w:rsidP="00D230C8" w14:paraId="52918743" w14:textId="77777777">
      <w:pPr>
        <w:spacing w:before="240"/>
        <w:jc w:val="both"/>
        <w:rPr>
          <w:rFonts w:ascii="Calibri" w:hAnsi="Calibri" w:cs="Calibri"/>
          <w:b/>
          <w:bCs/>
          <w:sz w:val="24"/>
          <w:szCs w:val="24"/>
        </w:rPr>
      </w:pPr>
    </w:p>
    <w:p w:rsidR="00A42508" w:rsidP="00D230C8" w14:paraId="33FEF6D3" w14:textId="77777777">
      <w:pPr>
        <w:spacing w:before="240"/>
        <w:jc w:val="both"/>
        <w:rPr>
          <w:rFonts w:ascii="Calibri" w:hAnsi="Calibri" w:cs="Calibri"/>
          <w:b/>
          <w:bCs/>
          <w:sz w:val="24"/>
          <w:szCs w:val="24"/>
        </w:rPr>
      </w:pPr>
    </w:p>
    <w:p w:rsidR="00A42508" w:rsidP="00D230C8" w14:paraId="574FBC31" w14:textId="77777777">
      <w:pPr>
        <w:spacing w:before="240"/>
        <w:jc w:val="both"/>
        <w:rPr>
          <w:rFonts w:ascii="Calibri" w:hAnsi="Calibri" w:cs="Calibri"/>
          <w:b/>
          <w:bCs/>
          <w:sz w:val="24"/>
          <w:szCs w:val="24"/>
        </w:rPr>
      </w:pPr>
    </w:p>
    <w:p w:rsidR="00D230C8" w:rsidRPr="00D230C8" w:rsidP="00D230C8" w14:paraId="26601ECB" w14:textId="77777777">
      <w:pPr>
        <w:spacing w:before="240"/>
        <w:jc w:val="both"/>
        <w:rPr>
          <w:sz w:val="24"/>
          <w:szCs w:val="24"/>
        </w:rPr>
      </w:pPr>
      <w:r w:rsidRPr="00D230C8">
        <w:rPr>
          <w:rFonts w:ascii="Calibri" w:hAnsi="Calibri" w:cs="Calibri"/>
          <w:b/>
          <w:bCs/>
          <w:sz w:val="24"/>
          <w:szCs w:val="24"/>
        </w:rPr>
        <w:t>IEG - M - I-</w:t>
      </w:r>
      <w:r w:rsidRPr="00D230C8">
        <w:rPr>
          <w:rFonts w:ascii="Calibri" w:hAnsi="Calibri" w:cs="Calibri"/>
          <w:b/>
          <w:bCs/>
          <w:sz w:val="24"/>
          <w:szCs w:val="24"/>
        </w:rPr>
        <w:t>Gov</w:t>
      </w:r>
      <w:r w:rsidRPr="00D230C8">
        <w:rPr>
          <w:rFonts w:ascii="Calibri" w:hAnsi="Calibri" w:cs="Calibri"/>
          <w:b/>
          <w:bCs/>
          <w:sz w:val="24"/>
          <w:szCs w:val="24"/>
        </w:rPr>
        <w:t xml:space="preserve"> TI</w:t>
      </w:r>
    </w:p>
    <w:p w:rsidR="00D230C8" w:rsidRPr="00A42508" w:rsidP="00541A0A" w14:paraId="508A1DF3" w14:textId="702F5CDA">
      <w:pPr>
        <w:pStyle w:val="ListParagraph"/>
        <w:numPr>
          <w:ilvl w:val="0"/>
          <w:numId w:val="7"/>
        </w:numPr>
        <w:spacing w:before="240"/>
        <w:jc w:val="both"/>
        <w:textAlignment w:val="baseline"/>
        <w:rPr>
          <w:rFonts w:ascii="Calibri" w:hAnsi="Calibri" w:cs="Calibri"/>
          <w:sz w:val="24"/>
          <w:szCs w:val="24"/>
        </w:rPr>
      </w:pPr>
      <w:r w:rsidRPr="00A42508">
        <w:rPr>
          <w:rFonts w:ascii="Calibri" w:hAnsi="Calibri" w:cs="Calibri"/>
          <w:sz w:val="24"/>
          <w:szCs w:val="24"/>
        </w:rPr>
        <w:t>D</w:t>
      </w:r>
      <w:r w:rsidRPr="00A42508">
        <w:rPr>
          <w:rFonts w:ascii="Calibri" w:hAnsi="Calibri" w:cs="Calibri"/>
          <w:sz w:val="24"/>
          <w:szCs w:val="24"/>
        </w:rPr>
        <w:t>escumprimento de algumas metas na função de “Assistência Social”.</w:t>
      </w:r>
    </w:p>
    <w:p w:rsidR="00D230C8" w:rsidRPr="00D230C8" w:rsidP="00D230C8" w14:paraId="5DABC2B3" w14:textId="6182569A">
      <w:pPr>
        <w:spacing w:before="240"/>
        <w:jc w:val="both"/>
        <w:rPr>
          <w:sz w:val="24"/>
          <w:szCs w:val="24"/>
        </w:rPr>
      </w:pPr>
      <w:r w:rsidRPr="00D230C8">
        <w:rPr>
          <w:rFonts w:ascii="Calibri" w:hAnsi="Calibri" w:cs="Calibri"/>
          <w:b/>
          <w:bCs/>
          <w:sz w:val="24"/>
          <w:szCs w:val="24"/>
        </w:rPr>
        <w:t>EXECUÇÃO FISCAL</w:t>
      </w:r>
    </w:p>
    <w:p w:rsidR="00A42508" w:rsidP="00541A0A" w14:paraId="7952C9E0" w14:textId="4CF50154">
      <w:pPr>
        <w:pStyle w:val="ListParagraph"/>
        <w:numPr>
          <w:ilvl w:val="0"/>
          <w:numId w:val="7"/>
        </w:numPr>
        <w:spacing w:before="240"/>
        <w:jc w:val="both"/>
        <w:textAlignment w:val="baseline"/>
        <w:rPr>
          <w:rFonts w:ascii="Calibri" w:hAnsi="Calibri" w:cs="Calibri"/>
          <w:sz w:val="24"/>
          <w:szCs w:val="24"/>
        </w:rPr>
      </w:pPr>
      <w:r>
        <w:rPr>
          <w:rFonts w:ascii="Calibri" w:hAnsi="Calibri" w:cs="Calibri"/>
          <w:sz w:val="24"/>
          <w:szCs w:val="24"/>
        </w:rPr>
        <w:t>N</w:t>
      </w:r>
      <w:r w:rsidRPr="00A42508" w:rsidR="00D230C8">
        <w:rPr>
          <w:rFonts w:ascii="Calibri" w:hAnsi="Calibri" w:cs="Calibri"/>
          <w:sz w:val="24"/>
          <w:szCs w:val="24"/>
        </w:rPr>
        <w:t>o tocante ao resultado da Execução Fiscal foi verificado um déficit (-4,61%);</w:t>
      </w:r>
    </w:p>
    <w:p w:rsidR="00D230C8" w:rsidRPr="00A42508" w:rsidP="00541A0A" w14:paraId="774E40A0" w14:textId="5BFB7998">
      <w:pPr>
        <w:pStyle w:val="ListParagraph"/>
        <w:numPr>
          <w:ilvl w:val="0"/>
          <w:numId w:val="7"/>
        </w:numPr>
        <w:spacing w:before="240"/>
        <w:jc w:val="both"/>
        <w:textAlignment w:val="baseline"/>
        <w:rPr>
          <w:rFonts w:ascii="Calibri" w:hAnsi="Calibri" w:cs="Calibri"/>
          <w:sz w:val="24"/>
          <w:szCs w:val="24"/>
        </w:rPr>
      </w:pPr>
      <w:r>
        <w:rPr>
          <w:rFonts w:ascii="Calibri" w:hAnsi="Calibri" w:cs="Calibri"/>
          <w:sz w:val="24"/>
          <w:szCs w:val="24"/>
        </w:rPr>
        <w:t>F</w:t>
      </w:r>
      <w:r w:rsidRPr="00A42508">
        <w:rPr>
          <w:rFonts w:ascii="Calibri" w:hAnsi="Calibri" w:cs="Calibri"/>
          <w:sz w:val="24"/>
          <w:szCs w:val="24"/>
        </w:rPr>
        <w:t>oi procedido abertura de créditos adicionais (</w:t>
      </w:r>
      <w:r w:rsidRPr="00A42508">
        <w:rPr>
          <w:rFonts w:ascii="Calibri" w:hAnsi="Calibri" w:cs="Calibri"/>
          <w:sz w:val="24"/>
          <w:szCs w:val="24"/>
        </w:rPr>
        <w:t>transferência</w:t>
      </w:r>
      <w:r w:rsidRPr="00A42508">
        <w:rPr>
          <w:rFonts w:ascii="Calibri" w:hAnsi="Calibri" w:cs="Calibri"/>
          <w:sz w:val="24"/>
          <w:szCs w:val="24"/>
        </w:rPr>
        <w:t>, remanejamento, transposição) correspondente a 28,95% da despesa fixada;</w:t>
      </w:r>
    </w:p>
    <w:p w:rsidR="00D230C8" w:rsidRPr="00D230C8" w:rsidP="00D230C8" w14:paraId="10122101" w14:textId="5974AA10">
      <w:pPr>
        <w:spacing w:before="240"/>
        <w:ind w:firstLine="720"/>
        <w:jc w:val="both"/>
        <w:rPr>
          <w:sz w:val="24"/>
          <w:szCs w:val="24"/>
        </w:rPr>
      </w:pPr>
      <w:r w:rsidRPr="00D230C8">
        <w:rPr>
          <w:rFonts w:ascii="Calibri" w:hAnsi="Calibri" w:cs="Calibri"/>
          <w:sz w:val="24"/>
          <w:szCs w:val="24"/>
        </w:rPr>
        <w:t>A prefeitura argumenta que o déficit do ano foi totalmente amparado e suplementado por superávit e excesso de arrecadação, sendo que grande parte da suplementação por excesso se deu por de valores recebidos em emendas parlamentares. Esclareceu ainda que algumas suplementações foram feitas para dar continuidade em investimentos estruturais já em andamento, tal como, obras em andamento, distribuição e uniformes a toda rede de ensino, reinauguração do pronto socorro central e reforma de prédios.</w:t>
      </w:r>
    </w:p>
    <w:p w:rsidR="00A42508" w:rsidP="00D230C8" w14:paraId="6BAD0C97" w14:textId="77777777">
      <w:pPr>
        <w:spacing w:before="240"/>
        <w:jc w:val="both"/>
        <w:rPr>
          <w:rFonts w:ascii="Calibri" w:hAnsi="Calibri" w:cs="Calibri"/>
          <w:b/>
          <w:bCs/>
          <w:sz w:val="24"/>
          <w:szCs w:val="24"/>
        </w:rPr>
      </w:pPr>
    </w:p>
    <w:p w:rsidR="00D230C8" w:rsidRPr="00D230C8" w:rsidP="00D230C8" w14:paraId="2288E5FA" w14:textId="7DA48807">
      <w:pPr>
        <w:spacing w:before="240"/>
        <w:jc w:val="both"/>
        <w:rPr>
          <w:sz w:val="24"/>
          <w:szCs w:val="24"/>
        </w:rPr>
      </w:pPr>
      <w:r w:rsidRPr="00D230C8">
        <w:rPr>
          <w:rFonts w:ascii="Calibri" w:hAnsi="Calibri" w:cs="Calibri"/>
          <w:b/>
          <w:bCs/>
          <w:sz w:val="24"/>
          <w:szCs w:val="24"/>
        </w:rPr>
        <w:t>ASPECTOS RELACIONADOS AO RECURSOS HUMANOS</w:t>
      </w:r>
    </w:p>
    <w:p w:rsidR="00A42508" w:rsidP="00541A0A" w14:paraId="1AD672A6" w14:textId="5C87F7DD">
      <w:pPr>
        <w:pStyle w:val="ListParagraph"/>
        <w:numPr>
          <w:ilvl w:val="0"/>
          <w:numId w:val="8"/>
        </w:numPr>
        <w:spacing w:before="240"/>
        <w:jc w:val="both"/>
        <w:textAlignment w:val="baseline"/>
        <w:rPr>
          <w:rFonts w:ascii="Calibri" w:hAnsi="Calibri" w:cs="Calibri"/>
          <w:sz w:val="24"/>
          <w:szCs w:val="24"/>
        </w:rPr>
      </w:pPr>
      <w:r>
        <w:rPr>
          <w:rFonts w:ascii="Calibri" w:hAnsi="Calibri" w:cs="Calibri"/>
          <w:sz w:val="24"/>
          <w:szCs w:val="24"/>
        </w:rPr>
        <w:t>R</w:t>
      </w:r>
      <w:r w:rsidRPr="00A42508" w:rsidR="00D230C8">
        <w:rPr>
          <w:rFonts w:ascii="Calibri" w:hAnsi="Calibri" w:cs="Calibri"/>
          <w:sz w:val="24"/>
          <w:szCs w:val="24"/>
        </w:rPr>
        <w:t>eincidência no apontamento de necessidade de revisar o crescimento vegetativo da folha ocasionado pelos adicionais de tempo aplicados em efeito cascata;</w:t>
      </w:r>
    </w:p>
    <w:p w:rsidR="00A42508" w:rsidP="00541A0A" w14:paraId="7FE83ACC" w14:textId="77777777">
      <w:pPr>
        <w:pStyle w:val="ListParagraph"/>
        <w:numPr>
          <w:ilvl w:val="0"/>
          <w:numId w:val="8"/>
        </w:numPr>
        <w:spacing w:before="240"/>
        <w:jc w:val="both"/>
        <w:textAlignment w:val="baseline"/>
        <w:rPr>
          <w:rFonts w:ascii="Calibri" w:hAnsi="Calibri" w:cs="Calibri"/>
          <w:sz w:val="24"/>
          <w:szCs w:val="24"/>
        </w:rPr>
      </w:pPr>
      <w:r>
        <w:rPr>
          <w:rFonts w:ascii="Calibri" w:hAnsi="Calibri" w:cs="Calibri"/>
          <w:sz w:val="24"/>
          <w:szCs w:val="24"/>
        </w:rPr>
        <w:t>A</w:t>
      </w:r>
      <w:r w:rsidRPr="00A42508" w:rsidR="00D230C8">
        <w:rPr>
          <w:rFonts w:ascii="Calibri" w:hAnsi="Calibri" w:cs="Calibri"/>
          <w:sz w:val="24"/>
          <w:szCs w:val="24"/>
        </w:rPr>
        <w:t xml:space="preserve"> prefeitura mantém a nomeação de servidores comissionados para cargo de assessores cujas atribuições não possuem características de direção e chefia e cuja escolaridade é Ensino Médio;</w:t>
      </w:r>
    </w:p>
    <w:p w:rsidR="00D230C8" w:rsidRPr="00A42508" w:rsidP="00541A0A" w14:paraId="2C1DAED6" w14:textId="0B24A07E">
      <w:pPr>
        <w:pStyle w:val="ListParagraph"/>
        <w:numPr>
          <w:ilvl w:val="0"/>
          <w:numId w:val="8"/>
        </w:numPr>
        <w:spacing w:before="240"/>
        <w:jc w:val="both"/>
        <w:textAlignment w:val="baseline"/>
        <w:rPr>
          <w:rFonts w:ascii="Calibri" w:hAnsi="Calibri" w:cs="Calibri"/>
          <w:sz w:val="24"/>
          <w:szCs w:val="24"/>
        </w:rPr>
      </w:pPr>
      <w:r w:rsidRPr="00A42508">
        <w:rPr>
          <w:rFonts w:ascii="Calibri" w:hAnsi="Calibri" w:cs="Calibri"/>
          <w:sz w:val="24"/>
          <w:szCs w:val="24"/>
        </w:rPr>
        <w:t>A contribuição previdenciária dos servidores remanescentes do regime estatutário está em desacordo com a Emenda Constitucional 103/2019, mantendo-se em 11%, quando deveria ser 14%.</w:t>
      </w:r>
    </w:p>
    <w:p w:rsidR="00D230C8" w:rsidRPr="00D230C8" w:rsidP="00D230C8" w14:paraId="09C905B6" w14:textId="77777777">
      <w:pPr>
        <w:spacing w:before="240"/>
        <w:ind w:firstLine="720"/>
        <w:jc w:val="both"/>
        <w:rPr>
          <w:sz w:val="24"/>
          <w:szCs w:val="24"/>
        </w:rPr>
      </w:pPr>
      <w:r w:rsidRPr="00D230C8">
        <w:rPr>
          <w:rFonts w:ascii="Calibri" w:hAnsi="Calibri" w:cs="Calibri"/>
          <w:sz w:val="24"/>
          <w:szCs w:val="24"/>
        </w:rPr>
        <w:t>No que se refere ao crescimento vegetativo da folha e escolaridade dos cargos em comissão, a prefeitura argumentou, na ocasião, que estava em andamento um estudo técnico em conjunto com empresa especializada, para a revisão do Plano de Carreiras do Quadro, e, consequentemente, das vantagens adicionais por tempo de serviço. Válido comentar que tal situação foi solucionado neste ano (2025) com a aprovação da Lei Complementar n° 386/2025, que corrigiu o efeito cascata dos adicionais por tempo de serviço. No que tange aos descontos previdenciários, a administração informou que já estava em trâmite na Câmara Municipal, nova legislação que corrigia a alíquota de contribuição, prevista na Lei Complementar n° 382/2024</w:t>
      </w:r>
    </w:p>
    <w:p w:rsidR="00A42508" w:rsidP="00D230C8" w14:paraId="28F37ED7" w14:textId="77777777">
      <w:pPr>
        <w:spacing w:before="240"/>
        <w:jc w:val="both"/>
        <w:rPr>
          <w:rFonts w:ascii="Calibri" w:hAnsi="Calibri" w:cs="Calibri"/>
          <w:b/>
          <w:bCs/>
          <w:sz w:val="24"/>
          <w:szCs w:val="24"/>
          <w:u w:val="single"/>
        </w:rPr>
      </w:pPr>
    </w:p>
    <w:p w:rsidR="00A42508" w:rsidP="00D230C8" w14:paraId="2055CC2F" w14:textId="77777777">
      <w:pPr>
        <w:spacing w:before="240"/>
        <w:jc w:val="both"/>
        <w:rPr>
          <w:rFonts w:ascii="Calibri" w:hAnsi="Calibri" w:cs="Calibri"/>
          <w:b/>
          <w:bCs/>
          <w:sz w:val="24"/>
          <w:szCs w:val="24"/>
          <w:u w:val="single"/>
        </w:rPr>
      </w:pPr>
    </w:p>
    <w:p w:rsidR="00D230C8" w:rsidRPr="00D230C8" w:rsidP="00D230C8" w14:paraId="7FECD2E8" w14:textId="77777777">
      <w:pPr>
        <w:spacing w:before="240"/>
        <w:jc w:val="both"/>
        <w:rPr>
          <w:sz w:val="24"/>
          <w:szCs w:val="24"/>
        </w:rPr>
      </w:pPr>
      <w:r w:rsidRPr="00D230C8">
        <w:rPr>
          <w:rFonts w:ascii="Calibri" w:hAnsi="Calibri" w:cs="Calibri"/>
          <w:b/>
          <w:bCs/>
          <w:sz w:val="24"/>
          <w:szCs w:val="24"/>
          <w:u w:val="single"/>
        </w:rPr>
        <w:t>Da Análise das Contas - Exercício de 2023 </w:t>
      </w:r>
    </w:p>
    <w:p w:rsidR="00D230C8" w:rsidRPr="00D230C8" w:rsidP="00D230C8" w14:paraId="3B640C89" w14:textId="77777777">
      <w:pPr>
        <w:spacing w:before="240" w:after="240"/>
        <w:ind w:firstLine="720"/>
        <w:jc w:val="both"/>
        <w:rPr>
          <w:sz w:val="24"/>
          <w:szCs w:val="24"/>
        </w:rPr>
      </w:pPr>
      <w:r w:rsidRPr="00D230C8">
        <w:rPr>
          <w:rFonts w:ascii="Calibri" w:hAnsi="Calibri" w:cs="Calibri"/>
          <w:sz w:val="24"/>
          <w:szCs w:val="24"/>
        </w:rPr>
        <w:t xml:space="preserve">Inicialmente, o Relator Conselheiro Dr. Sidney </w:t>
      </w:r>
      <w:r w:rsidRPr="00D230C8">
        <w:rPr>
          <w:rFonts w:ascii="Calibri" w:hAnsi="Calibri" w:cs="Calibri"/>
          <w:sz w:val="24"/>
          <w:szCs w:val="24"/>
        </w:rPr>
        <w:t>Estanislau</w:t>
      </w:r>
      <w:r w:rsidRPr="00D230C8">
        <w:rPr>
          <w:rFonts w:ascii="Calibri" w:hAnsi="Calibri" w:cs="Calibri"/>
          <w:sz w:val="24"/>
          <w:szCs w:val="24"/>
        </w:rPr>
        <w:t xml:space="preserve"> Beraldo apresenta a situação das Contas da Prefeitura Municipal de Mogi Mirim, relativas ao exercício de 2023, em especial para verificação da observância e cumprimento dos preceitos Constitucionais pela administração. Segue reprodução:</w:t>
      </w:r>
    </w:p>
    <w:p w:rsidR="00D230C8" w:rsidRPr="00D230C8" w:rsidP="00A42508" w14:paraId="5D7596F2" w14:textId="249BFF7D">
      <w:pPr>
        <w:spacing w:after="240"/>
        <w:rPr>
          <w:sz w:val="24"/>
          <w:szCs w:val="24"/>
        </w:rPr>
      </w:pPr>
      <w:r>
        <w:rPr>
          <w:noProof/>
          <w:sz w:val="24"/>
          <w:szCs w:val="24"/>
        </w:rPr>
        <w:drawing>
          <wp:inline distT="0" distB="0" distL="0" distR="0">
            <wp:extent cx="5760720" cy="35890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47690" name="tabela.pn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760720" cy="3589020"/>
                    </a:xfrm>
                    <a:prstGeom prst="rect">
                      <a:avLst/>
                    </a:prstGeom>
                  </pic:spPr>
                </pic:pic>
              </a:graphicData>
            </a:graphic>
          </wp:inline>
        </w:drawing>
      </w:r>
      <w:r w:rsidRPr="00D230C8">
        <w:rPr>
          <w:sz w:val="24"/>
          <w:szCs w:val="24"/>
        </w:rPr>
        <w:br/>
      </w:r>
      <w:r w:rsidRPr="00D230C8">
        <w:rPr>
          <w:rFonts w:ascii="Calibri" w:hAnsi="Calibri" w:cs="Calibri"/>
        </w:rPr>
        <w:t>*tabela retirada do relatório do conselheiro</w:t>
      </w:r>
    </w:p>
    <w:p w:rsidR="00D230C8" w:rsidRPr="00D230C8" w:rsidP="00D230C8" w14:paraId="032CA8A5" w14:textId="77777777">
      <w:pPr>
        <w:spacing w:before="240" w:after="240"/>
        <w:ind w:firstLine="720"/>
        <w:jc w:val="both"/>
        <w:rPr>
          <w:sz w:val="24"/>
          <w:szCs w:val="24"/>
        </w:rPr>
      </w:pPr>
      <w:r w:rsidRPr="00D230C8">
        <w:rPr>
          <w:rFonts w:ascii="Calibri" w:hAnsi="Calibri" w:cs="Calibri"/>
          <w:sz w:val="24"/>
          <w:szCs w:val="24"/>
        </w:rPr>
        <w:t>Para sua tomada de decisão o relator levou em consideração as manifestações da ATJ e MPC sendo que a Unidade Jurídica se posicionou pela emissão de parecer favorável à aprovação das contas, acompanhada pela sua Chefia.</w:t>
      </w:r>
    </w:p>
    <w:p w:rsidR="00D230C8" w:rsidRPr="00D230C8" w:rsidP="00D230C8" w14:paraId="634E768A" w14:textId="77777777">
      <w:pPr>
        <w:spacing w:before="240" w:after="240"/>
        <w:ind w:firstLine="720"/>
        <w:jc w:val="both"/>
        <w:rPr>
          <w:sz w:val="24"/>
          <w:szCs w:val="24"/>
        </w:rPr>
      </w:pPr>
      <w:r w:rsidRPr="00D230C8">
        <w:rPr>
          <w:rFonts w:ascii="Calibri" w:hAnsi="Calibri" w:cs="Calibri"/>
          <w:sz w:val="24"/>
          <w:szCs w:val="24"/>
        </w:rPr>
        <w:t>Já o Ministério Público de Contas opinou pela emissão de parecer desfavorável à aprovação das contas, em virtude dos seguintes motivos: sistema de controle interno deficitário; resultados insatisfatórios ou satisfatórios, mas que precisam de aprimoramento no IEG-M; alterações orçamentárias correspondentes a 28,95% da despesa inicialmente fixada, denotando esvaziamento das leis orçamentárias como instrumento de planejamento governamental, e em desacordo com as orientações do Tribunal; pagamento de adicionais salariais em cascata, em desacordo com o estipulado pelo inciso XIV do art. 37 da CF ; cargos em comissão sem características de direção, chefia e assessoramento e com nível de escolaridade inadequado; ausência de providências para adequar sua alíquota de contribuição previdenciária ao estipulado pelos artigos 9º, § 4º, e 11 da Emenda Constitucional 103/2019; falta de fidedignidade das informações prestadas ao Sistema Audesp, em afronta aos princípios da transparência e da evidenciação contábil; e não atendimento às recomendações, determinações e Instruções do Tribunal.  </w:t>
      </w:r>
    </w:p>
    <w:p w:rsidR="00D230C8" w:rsidRPr="00D230C8" w:rsidP="00D230C8" w14:paraId="5426799B" w14:textId="77777777">
      <w:pPr>
        <w:spacing w:before="240"/>
        <w:ind w:firstLine="720"/>
        <w:jc w:val="both"/>
        <w:rPr>
          <w:sz w:val="24"/>
          <w:szCs w:val="24"/>
        </w:rPr>
      </w:pPr>
      <w:r w:rsidRPr="00D230C8">
        <w:rPr>
          <w:rFonts w:ascii="Calibri" w:hAnsi="Calibri" w:cs="Calibri"/>
          <w:sz w:val="24"/>
          <w:szCs w:val="24"/>
        </w:rPr>
        <w:t>Com base em todas informações das unidades competentes, o relator teceu sua argumentação no sentido que “</w:t>
      </w:r>
      <w:r w:rsidRPr="00D230C8">
        <w:rPr>
          <w:rFonts w:ascii="Calibri" w:hAnsi="Calibri" w:cs="Calibri"/>
          <w:i/>
          <w:iCs/>
          <w:sz w:val="24"/>
          <w:szCs w:val="24"/>
        </w:rPr>
        <w:t>A instrução dos autos revela que a Prefeitura Municipal de Mogi Mirim observou as normas constitucionais e legais no que se refere à aplicação no ensino, remuneração dos profissionais de educação básica, Fundeb, saúde, precatórios, encargos sociais (INSS, FGTS e PASEP), subsídios dos agentes políticos e transferências de duodécimos ao legislativo.</w:t>
      </w:r>
    </w:p>
    <w:p w:rsidR="00D230C8" w:rsidRPr="00D230C8" w:rsidP="00D230C8" w14:paraId="6314083F" w14:textId="77777777">
      <w:pPr>
        <w:spacing w:before="240"/>
        <w:ind w:firstLine="720"/>
        <w:jc w:val="both"/>
        <w:rPr>
          <w:sz w:val="24"/>
          <w:szCs w:val="24"/>
        </w:rPr>
      </w:pPr>
      <w:r w:rsidRPr="00D230C8">
        <w:rPr>
          <w:rFonts w:ascii="Calibri" w:hAnsi="Calibri" w:cs="Calibri"/>
          <w:sz w:val="24"/>
          <w:szCs w:val="24"/>
          <w:shd w:val="clear" w:color="auto" w:fill="FFFFFF"/>
        </w:rPr>
        <w:t>O Relator ponderou que as alterações no orçamento promovidas durante o exercício mostram falhas técnicas na sua elaboração considerando que foi acima do índice de inflação registrado no período, em desacordo com o entendimento pacificado do TCE-SP, entretanto, não causaram desajustes que poderiam comprometer a gestão. Dessa forma, entende que o aspecto possa ser incluído no campo de recomendações para que efetive correções que reduzam as alterações orçamentárias. </w:t>
      </w:r>
    </w:p>
    <w:p w:rsidR="00D230C8" w:rsidRPr="00D230C8" w:rsidP="00D230C8" w14:paraId="128D4A08" w14:textId="0FA519AF">
      <w:pPr>
        <w:spacing w:before="240"/>
        <w:ind w:firstLine="720"/>
        <w:jc w:val="both"/>
        <w:rPr>
          <w:sz w:val="24"/>
          <w:szCs w:val="24"/>
        </w:rPr>
      </w:pPr>
      <w:r w:rsidRPr="00D230C8">
        <w:rPr>
          <w:rFonts w:ascii="Calibri" w:hAnsi="Calibri" w:cs="Calibri"/>
          <w:sz w:val="24"/>
          <w:szCs w:val="24"/>
        </w:rPr>
        <w:t>Com relação aos resultados, por mais que a execução orçamentária tenha sido deficitária, o financeiro, para o período, foi superavitário, demonstrando a disponibilidade de recursos para pagamento das dívidas a curto prazo. No que se refere ao resultado econômico, houve uma diminuição do saldo patrimonial (R$ 541.229.411,50 para R$ 522.858.168,79).</w:t>
      </w:r>
    </w:p>
    <w:p w:rsidR="00D230C8" w:rsidRPr="00D230C8" w:rsidP="00D230C8" w14:paraId="515DD305" w14:textId="77777777">
      <w:pPr>
        <w:spacing w:before="240"/>
        <w:ind w:firstLine="720"/>
        <w:jc w:val="both"/>
        <w:rPr>
          <w:sz w:val="24"/>
          <w:szCs w:val="24"/>
        </w:rPr>
      </w:pPr>
      <w:r w:rsidRPr="00D230C8">
        <w:rPr>
          <w:rFonts w:ascii="Calibri" w:hAnsi="Calibri" w:cs="Calibri"/>
          <w:sz w:val="24"/>
          <w:szCs w:val="24"/>
        </w:rPr>
        <w:t>O relator destaca aspectos relacionados ao recebimento e execução das emendas parlamentares individuais, onde a prefeitura ainda não realizou a contabilização dos recursos de modo adequado. Foi observado também que parte dos valores foi registrado apenas em 2024. Ponderou que como não há indícios de desvio de valores, tal situação deverá ser corrigida sendo apontada no campo das recomendações.</w:t>
      </w:r>
    </w:p>
    <w:p w:rsidR="00D230C8" w:rsidRPr="00D230C8" w:rsidP="00D230C8" w14:paraId="177556E9" w14:textId="109C33BD">
      <w:pPr>
        <w:spacing w:before="240"/>
        <w:jc w:val="both"/>
        <w:rPr>
          <w:sz w:val="24"/>
          <w:szCs w:val="24"/>
        </w:rPr>
      </w:pPr>
      <w:r w:rsidRPr="008E0A0F">
        <w:rPr>
          <w:rFonts w:ascii="Calibri" w:hAnsi="Calibri" w:cs="Calibri"/>
          <w:sz w:val="24"/>
          <w:szCs w:val="24"/>
        </w:rPr>
        <w:tab/>
      </w:r>
      <w:r w:rsidR="00A42508">
        <w:rPr>
          <w:rFonts w:ascii="Calibri" w:hAnsi="Calibri" w:cs="Calibri"/>
          <w:sz w:val="24"/>
          <w:szCs w:val="24"/>
        </w:rPr>
        <w:t>Quanto aos precatórios, </w:t>
      </w:r>
      <w:r w:rsidRPr="00D230C8">
        <w:rPr>
          <w:rFonts w:ascii="Calibri" w:hAnsi="Calibri" w:cs="Calibri"/>
          <w:sz w:val="24"/>
          <w:szCs w:val="24"/>
        </w:rPr>
        <w:t>foi verificado que a administração municipal tem cumprido com seus compromissos, entretanto, ainda há falhas na contabilização da dívida de precatório no balanço patrimonial.</w:t>
      </w:r>
    </w:p>
    <w:p w:rsidR="00D230C8" w:rsidRPr="00D230C8" w:rsidP="00D230C8" w14:paraId="0B93F84C" w14:textId="77777777">
      <w:pPr>
        <w:spacing w:before="240"/>
        <w:ind w:firstLine="720"/>
        <w:jc w:val="both"/>
        <w:rPr>
          <w:sz w:val="24"/>
          <w:szCs w:val="24"/>
        </w:rPr>
      </w:pPr>
      <w:r w:rsidRPr="00D230C8">
        <w:rPr>
          <w:rFonts w:ascii="Calibri" w:hAnsi="Calibri" w:cs="Calibri"/>
          <w:sz w:val="24"/>
          <w:szCs w:val="24"/>
        </w:rPr>
        <w:t>No que se refere ao cumprimento dos preceitos constitucionais, a Prefeitura cumpriu suas obrigações. Citamos: 1) manutenção dos pagamentos dos encargos sociais e parcelamentos dos débitos previdenciários; 2) cumprimento do limite de despesa com pessoal previsto na Lei de Responsabilidade Fiscal - atingiu 41,20%; 3) cumprimento das transferências obrigatórias ao Poder Legislativo; 4) aplicação de 27,52% (ref. 25%) no ensino e 99,62% dos recursos do FUNDEB para remuneração dos profissionais de educação básica; e 5) aplicação de 27,04% na saúde (ref. 15%).</w:t>
      </w:r>
    </w:p>
    <w:p w:rsidR="00D230C8" w:rsidRPr="00D230C8" w:rsidP="00D230C8" w14:paraId="46A9324F" w14:textId="77777777">
      <w:pPr>
        <w:spacing w:before="240"/>
        <w:ind w:firstLine="720"/>
        <w:jc w:val="both"/>
        <w:rPr>
          <w:sz w:val="24"/>
          <w:szCs w:val="24"/>
        </w:rPr>
      </w:pPr>
      <w:r w:rsidRPr="00D230C8">
        <w:rPr>
          <w:rFonts w:ascii="Calibri" w:hAnsi="Calibri" w:cs="Calibri"/>
          <w:sz w:val="24"/>
          <w:szCs w:val="24"/>
        </w:rPr>
        <w:t xml:space="preserve">Em face de todo o exposto, é possível entender que o conselheiro  considerou que a </w:t>
      </w:r>
      <w:r w:rsidRPr="00D230C8">
        <w:rPr>
          <w:rFonts w:ascii="Calibri" w:hAnsi="Calibri" w:cs="Calibri"/>
          <w:sz w:val="24"/>
          <w:szCs w:val="24"/>
          <w:u w:val="single"/>
        </w:rPr>
        <w:t xml:space="preserve">administração municipal cumpriu suas obrigações legais e constitucionais </w:t>
      </w:r>
      <w:r w:rsidRPr="00D230C8">
        <w:rPr>
          <w:rFonts w:ascii="Calibri" w:hAnsi="Calibri" w:cs="Calibri"/>
          <w:sz w:val="24"/>
          <w:szCs w:val="24"/>
        </w:rPr>
        <w:t>e  que as demais falhas apontadas no Relatório de Fiscalização não possuem força para reprovar as contas em apreço, desta forma,  acompanhou o posicionamento da Assessoria Técnica Jurídica, votando pela emissão de Parecer Prévio Favorável às contas da Prefeitura Municipal de Mogi Mirim, relativas ao exercício de 2023, com as seguintes ADVERTÊNCIAS:</w:t>
      </w:r>
    </w:p>
    <w:p w:rsidR="00A42508" w:rsidP="00541A0A" w14:paraId="2392DDF6" w14:textId="77777777">
      <w:pPr>
        <w:pStyle w:val="ListParagraph"/>
        <w:numPr>
          <w:ilvl w:val="0"/>
          <w:numId w:val="9"/>
        </w:numPr>
        <w:spacing w:before="240"/>
        <w:jc w:val="both"/>
        <w:textAlignment w:val="baseline"/>
        <w:rPr>
          <w:rFonts w:ascii="Calibri" w:hAnsi="Calibri" w:cs="Calibri"/>
          <w:sz w:val="24"/>
          <w:szCs w:val="24"/>
        </w:rPr>
      </w:pPr>
      <w:r w:rsidRPr="00A42508">
        <w:rPr>
          <w:rFonts w:ascii="Calibri" w:hAnsi="Calibri" w:cs="Calibri"/>
          <w:sz w:val="24"/>
          <w:szCs w:val="24"/>
        </w:rPr>
        <w:t>adote</w:t>
      </w:r>
      <w:r w:rsidRPr="00A42508">
        <w:rPr>
          <w:rFonts w:ascii="Calibri" w:hAnsi="Calibri" w:cs="Calibri"/>
          <w:sz w:val="24"/>
          <w:szCs w:val="24"/>
        </w:rPr>
        <w:t xml:space="preserve"> as providências necessárias à melhoria do índices de formação do IEGM, dando ênfase aos pontos de atenção destacados nos autos;</w:t>
      </w:r>
    </w:p>
    <w:p w:rsidR="00A42508" w:rsidP="00541A0A" w14:paraId="262B6262" w14:textId="77777777">
      <w:pPr>
        <w:pStyle w:val="ListParagraph"/>
        <w:numPr>
          <w:ilvl w:val="0"/>
          <w:numId w:val="9"/>
        </w:numPr>
        <w:spacing w:before="240"/>
        <w:jc w:val="both"/>
        <w:textAlignment w:val="baseline"/>
        <w:rPr>
          <w:rFonts w:ascii="Calibri" w:hAnsi="Calibri" w:cs="Calibri"/>
          <w:sz w:val="24"/>
          <w:szCs w:val="24"/>
        </w:rPr>
      </w:pPr>
      <w:r w:rsidRPr="00A42508">
        <w:rPr>
          <w:rFonts w:ascii="Calibri" w:hAnsi="Calibri" w:cs="Calibri"/>
          <w:sz w:val="24"/>
          <w:szCs w:val="24"/>
        </w:rPr>
        <w:t>aprimore</w:t>
      </w:r>
      <w:r w:rsidRPr="00A42508">
        <w:rPr>
          <w:rFonts w:ascii="Calibri" w:hAnsi="Calibri" w:cs="Calibri"/>
          <w:sz w:val="24"/>
          <w:szCs w:val="24"/>
        </w:rPr>
        <w:t xml:space="preserve"> o Sistema de Controle Interno, com vista ao pleno desempenho de suas funções institucionais;</w:t>
      </w:r>
    </w:p>
    <w:p w:rsidR="00A42508" w:rsidP="00541A0A" w14:paraId="4A5D5A34" w14:textId="77777777">
      <w:pPr>
        <w:pStyle w:val="ListParagraph"/>
        <w:numPr>
          <w:ilvl w:val="0"/>
          <w:numId w:val="9"/>
        </w:numPr>
        <w:spacing w:before="240"/>
        <w:jc w:val="both"/>
        <w:textAlignment w:val="baseline"/>
        <w:rPr>
          <w:rFonts w:ascii="Calibri" w:hAnsi="Calibri" w:cs="Calibri"/>
          <w:sz w:val="24"/>
          <w:szCs w:val="24"/>
        </w:rPr>
      </w:pPr>
      <w:r w:rsidRPr="00A42508">
        <w:rPr>
          <w:rFonts w:ascii="Calibri" w:hAnsi="Calibri" w:cs="Calibri"/>
          <w:sz w:val="24"/>
          <w:szCs w:val="24"/>
        </w:rPr>
        <w:t>harmonize</w:t>
      </w:r>
      <w:r w:rsidRPr="00A42508">
        <w:rPr>
          <w:rFonts w:ascii="Calibri" w:hAnsi="Calibri" w:cs="Calibri"/>
          <w:sz w:val="24"/>
          <w:szCs w:val="24"/>
        </w:rPr>
        <w:t xml:space="preserve"> as fases de planejamento e execução do orçamento, de modo a evitar a ocorrência de elevados percentuais de alterações orçamentárias;</w:t>
      </w:r>
    </w:p>
    <w:p w:rsidR="00A42508" w:rsidP="00541A0A" w14:paraId="31CE2207" w14:textId="77777777">
      <w:pPr>
        <w:pStyle w:val="ListParagraph"/>
        <w:numPr>
          <w:ilvl w:val="0"/>
          <w:numId w:val="9"/>
        </w:numPr>
        <w:spacing w:before="240"/>
        <w:jc w:val="both"/>
        <w:textAlignment w:val="baseline"/>
        <w:rPr>
          <w:rFonts w:ascii="Calibri" w:hAnsi="Calibri" w:cs="Calibri"/>
          <w:sz w:val="24"/>
          <w:szCs w:val="24"/>
        </w:rPr>
      </w:pPr>
      <w:r w:rsidRPr="00A42508">
        <w:rPr>
          <w:rFonts w:ascii="Calibri" w:hAnsi="Calibri" w:cs="Calibri"/>
          <w:sz w:val="24"/>
          <w:szCs w:val="24"/>
        </w:rPr>
        <w:t>proceda</w:t>
      </w:r>
      <w:r w:rsidRPr="00A42508">
        <w:rPr>
          <w:rFonts w:ascii="Calibri" w:hAnsi="Calibri" w:cs="Calibri"/>
          <w:sz w:val="24"/>
          <w:szCs w:val="24"/>
        </w:rPr>
        <w:t xml:space="preserve"> à devida contabilização dos recursos recebidos por meio de emendas parlamentares individuais, em observância aos princípios da transparência e da evidenciação contábil ;</w:t>
      </w:r>
    </w:p>
    <w:p w:rsidR="00A42508" w:rsidP="00541A0A" w14:paraId="3835BA34" w14:textId="77777777">
      <w:pPr>
        <w:pStyle w:val="ListParagraph"/>
        <w:numPr>
          <w:ilvl w:val="0"/>
          <w:numId w:val="9"/>
        </w:numPr>
        <w:spacing w:before="240"/>
        <w:jc w:val="both"/>
        <w:textAlignment w:val="baseline"/>
        <w:rPr>
          <w:rFonts w:ascii="Calibri" w:hAnsi="Calibri" w:cs="Calibri"/>
          <w:sz w:val="24"/>
          <w:szCs w:val="24"/>
        </w:rPr>
      </w:pPr>
      <w:r w:rsidRPr="00A42508">
        <w:rPr>
          <w:rFonts w:ascii="Calibri" w:hAnsi="Calibri" w:cs="Calibri"/>
          <w:sz w:val="24"/>
          <w:szCs w:val="24"/>
        </w:rPr>
        <w:t>registre</w:t>
      </w:r>
      <w:r w:rsidRPr="00A42508">
        <w:rPr>
          <w:rFonts w:ascii="Calibri" w:hAnsi="Calibri" w:cs="Calibri"/>
          <w:sz w:val="24"/>
          <w:szCs w:val="24"/>
        </w:rPr>
        <w:t xml:space="preserve"> corretamente a dívida de precatórios em seu balanço patrimonial;</w:t>
      </w:r>
    </w:p>
    <w:p w:rsidR="00A42508" w:rsidP="00541A0A" w14:paraId="53A01FB3" w14:textId="77777777">
      <w:pPr>
        <w:pStyle w:val="ListParagraph"/>
        <w:numPr>
          <w:ilvl w:val="0"/>
          <w:numId w:val="9"/>
        </w:numPr>
        <w:spacing w:before="240"/>
        <w:jc w:val="both"/>
        <w:textAlignment w:val="baseline"/>
        <w:rPr>
          <w:rFonts w:ascii="Calibri" w:hAnsi="Calibri" w:cs="Calibri"/>
          <w:sz w:val="24"/>
          <w:szCs w:val="24"/>
        </w:rPr>
      </w:pPr>
      <w:r w:rsidRPr="00A42508">
        <w:rPr>
          <w:rFonts w:ascii="Calibri" w:hAnsi="Calibri" w:cs="Calibri"/>
          <w:sz w:val="24"/>
          <w:szCs w:val="24"/>
        </w:rPr>
        <w:t>reveja</w:t>
      </w:r>
      <w:r w:rsidRPr="00A42508">
        <w:rPr>
          <w:rFonts w:ascii="Calibri" w:hAnsi="Calibri" w:cs="Calibri"/>
          <w:sz w:val="24"/>
          <w:szCs w:val="24"/>
        </w:rPr>
        <w:t xml:space="preserve"> seu quadro de pessoal, de modo que os cargos comissionados, nos termos da Constituição Federal, efetivamente se caracterizem como de direção, chefia e assessoramento, observados os requisitos de escolaridade compatíveis com as funções exercidas ;</w:t>
      </w:r>
    </w:p>
    <w:p w:rsidR="00A42508" w:rsidP="00541A0A" w14:paraId="3ACE7D3E" w14:textId="77777777">
      <w:pPr>
        <w:pStyle w:val="ListParagraph"/>
        <w:numPr>
          <w:ilvl w:val="0"/>
          <w:numId w:val="9"/>
        </w:numPr>
        <w:spacing w:before="240"/>
        <w:jc w:val="both"/>
        <w:textAlignment w:val="baseline"/>
        <w:rPr>
          <w:rFonts w:ascii="Calibri" w:hAnsi="Calibri" w:cs="Calibri"/>
          <w:sz w:val="24"/>
          <w:szCs w:val="24"/>
        </w:rPr>
      </w:pPr>
      <w:r w:rsidRPr="00A42508">
        <w:rPr>
          <w:rFonts w:ascii="Calibri" w:hAnsi="Calibri" w:cs="Calibri"/>
          <w:sz w:val="24"/>
          <w:szCs w:val="24"/>
        </w:rPr>
        <w:t>promova</w:t>
      </w:r>
      <w:r w:rsidRPr="00A42508">
        <w:rPr>
          <w:rFonts w:ascii="Calibri" w:hAnsi="Calibri" w:cs="Calibri"/>
          <w:sz w:val="24"/>
          <w:szCs w:val="24"/>
        </w:rPr>
        <w:t xml:space="preserve"> medidas efetivas com vista a afastar, no pagamento de benefícios aos servidores municipais, a incidência do “efeito cascata”, vedado pelo artigo 37, inciso XIV, da CF/88;</w:t>
      </w:r>
    </w:p>
    <w:p w:rsidR="00A42508" w:rsidP="00541A0A" w14:paraId="411397F2" w14:textId="77777777">
      <w:pPr>
        <w:pStyle w:val="ListParagraph"/>
        <w:numPr>
          <w:ilvl w:val="0"/>
          <w:numId w:val="9"/>
        </w:numPr>
        <w:spacing w:before="240"/>
        <w:jc w:val="both"/>
        <w:textAlignment w:val="baseline"/>
        <w:rPr>
          <w:rFonts w:ascii="Calibri" w:hAnsi="Calibri" w:cs="Calibri"/>
          <w:sz w:val="24"/>
          <w:szCs w:val="24"/>
        </w:rPr>
      </w:pPr>
      <w:r w:rsidRPr="00A42508">
        <w:rPr>
          <w:rFonts w:ascii="Calibri" w:hAnsi="Calibri" w:cs="Calibri"/>
          <w:sz w:val="24"/>
          <w:szCs w:val="24"/>
        </w:rPr>
        <w:t>diligencie</w:t>
      </w:r>
      <w:r w:rsidRPr="00A42508">
        <w:rPr>
          <w:rFonts w:ascii="Calibri" w:hAnsi="Calibri" w:cs="Calibri"/>
          <w:sz w:val="24"/>
          <w:szCs w:val="24"/>
        </w:rPr>
        <w:t xml:space="preserve"> para que seja suprida a ausência de Auto de Vistoria do Corpo de Bombeiros – AVCB nos imóveis públicos municipais, especialmente nas unidades de ensino e saúde;</w:t>
      </w:r>
    </w:p>
    <w:p w:rsidR="00A42508" w:rsidP="00541A0A" w14:paraId="352AB7EA" w14:textId="77777777">
      <w:pPr>
        <w:pStyle w:val="ListParagraph"/>
        <w:numPr>
          <w:ilvl w:val="0"/>
          <w:numId w:val="9"/>
        </w:numPr>
        <w:spacing w:before="240"/>
        <w:jc w:val="both"/>
        <w:textAlignment w:val="baseline"/>
        <w:rPr>
          <w:rFonts w:ascii="Calibri" w:hAnsi="Calibri" w:cs="Calibri"/>
          <w:sz w:val="24"/>
          <w:szCs w:val="24"/>
        </w:rPr>
      </w:pPr>
      <w:r w:rsidRPr="00A42508">
        <w:rPr>
          <w:rFonts w:ascii="Calibri" w:hAnsi="Calibri" w:cs="Calibri"/>
          <w:sz w:val="24"/>
          <w:szCs w:val="24"/>
        </w:rPr>
        <w:t>garanta</w:t>
      </w:r>
      <w:r w:rsidRPr="00A42508">
        <w:rPr>
          <w:rFonts w:ascii="Calibri" w:hAnsi="Calibri" w:cs="Calibri"/>
          <w:sz w:val="24"/>
          <w:szCs w:val="24"/>
        </w:rPr>
        <w:t xml:space="preserve"> que os recursos do Fundeb sejam movimentados por meio de conta bancária vinculada;</w:t>
      </w:r>
    </w:p>
    <w:p w:rsidR="00A42508" w:rsidP="00541A0A" w14:paraId="005DEA56" w14:textId="77777777">
      <w:pPr>
        <w:pStyle w:val="ListParagraph"/>
        <w:numPr>
          <w:ilvl w:val="0"/>
          <w:numId w:val="9"/>
        </w:numPr>
        <w:spacing w:before="240"/>
        <w:jc w:val="both"/>
        <w:textAlignment w:val="baseline"/>
        <w:rPr>
          <w:rFonts w:ascii="Calibri" w:hAnsi="Calibri" w:cs="Calibri"/>
          <w:sz w:val="24"/>
          <w:szCs w:val="24"/>
        </w:rPr>
      </w:pPr>
      <w:r w:rsidRPr="00A42508">
        <w:rPr>
          <w:rFonts w:ascii="Calibri" w:hAnsi="Calibri" w:cs="Calibri"/>
          <w:sz w:val="24"/>
          <w:szCs w:val="24"/>
        </w:rPr>
        <w:t>assegure</w:t>
      </w:r>
      <w:r w:rsidRPr="00A42508">
        <w:rPr>
          <w:rFonts w:ascii="Calibri" w:hAnsi="Calibri" w:cs="Calibri"/>
          <w:sz w:val="24"/>
          <w:szCs w:val="24"/>
        </w:rPr>
        <w:t xml:space="preserve"> o estrito cumprimento da Lei de Acesso à Informação e da Lei da Transparência Fiscal;</w:t>
      </w:r>
    </w:p>
    <w:p w:rsidR="00A42508" w:rsidP="00541A0A" w14:paraId="18D88775" w14:textId="77777777">
      <w:pPr>
        <w:pStyle w:val="ListParagraph"/>
        <w:numPr>
          <w:ilvl w:val="0"/>
          <w:numId w:val="9"/>
        </w:numPr>
        <w:spacing w:before="240"/>
        <w:jc w:val="both"/>
        <w:textAlignment w:val="baseline"/>
        <w:rPr>
          <w:rFonts w:ascii="Calibri" w:hAnsi="Calibri" w:cs="Calibri"/>
          <w:sz w:val="24"/>
          <w:szCs w:val="24"/>
        </w:rPr>
      </w:pPr>
      <w:r w:rsidRPr="00A42508">
        <w:rPr>
          <w:rFonts w:ascii="Calibri" w:hAnsi="Calibri" w:cs="Calibri"/>
          <w:sz w:val="24"/>
          <w:szCs w:val="24"/>
        </w:rPr>
        <w:t>zele</w:t>
      </w:r>
      <w:r w:rsidRPr="00A42508">
        <w:rPr>
          <w:rFonts w:ascii="Calibri" w:hAnsi="Calibri" w:cs="Calibri"/>
          <w:sz w:val="24"/>
          <w:szCs w:val="24"/>
        </w:rPr>
        <w:t xml:space="preserve"> pela fidedignidade das informações transmitidas ao Sistema Audesp, em prestígio aos princípios da transparência e da evidenciação contábil;</w:t>
      </w:r>
    </w:p>
    <w:p w:rsidR="00A42508" w:rsidP="00541A0A" w14:paraId="678DA163" w14:textId="77777777">
      <w:pPr>
        <w:pStyle w:val="ListParagraph"/>
        <w:numPr>
          <w:ilvl w:val="0"/>
          <w:numId w:val="9"/>
        </w:numPr>
        <w:spacing w:before="240"/>
        <w:jc w:val="both"/>
        <w:textAlignment w:val="baseline"/>
        <w:rPr>
          <w:rFonts w:ascii="Calibri" w:hAnsi="Calibri" w:cs="Calibri"/>
          <w:sz w:val="24"/>
          <w:szCs w:val="24"/>
        </w:rPr>
      </w:pPr>
      <w:r w:rsidRPr="00A42508">
        <w:rPr>
          <w:rFonts w:ascii="Calibri" w:hAnsi="Calibri" w:cs="Calibri"/>
          <w:sz w:val="24"/>
          <w:szCs w:val="24"/>
        </w:rPr>
        <w:t>atenda</w:t>
      </w:r>
      <w:r w:rsidRPr="00A42508">
        <w:rPr>
          <w:rFonts w:ascii="Calibri" w:hAnsi="Calibri" w:cs="Calibri"/>
          <w:sz w:val="24"/>
          <w:szCs w:val="24"/>
        </w:rPr>
        <w:t xml:space="preserve"> integralmente às recomendações exaradas por esta Corte de Contas; e</w:t>
      </w:r>
    </w:p>
    <w:p w:rsidR="00D230C8" w:rsidRPr="00A42508" w:rsidP="00541A0A" w14:paraId="7B24E4C9" w14:textId="3F75375F">
      <w:pPr>
        <w:pStyle w:val="ListParagraph"/>
        <w:numPr>
          <w:ilvl w:val="0"/>
          <w:numId w:val="9"/>
        </w:numPr>
        <w:spacing w:before="240"/>
        <w:jc w:val="both"/>
        <w:textAlignment w:val="baseline"/>
        <w:rPr>
          <w:rFonts w:ascii="Calibri" w:hAnsi="Calibri" w:cs="Calibri"/>
          <w:sz w:val="24"/>
          <w:szCs w:val="24"/>
        </w:rPr>
      </w:pPr>
      <w:r w:rsidRPr="00A42508">
        <w:rPr>
          <w:rFonts w:ascii="Calibri" w:hAnsi="Calibri" w:cs="Calibri"/>
          <w:sz w:val="24"/>
          <w:szCs w:val="24"/>
        </w:rPr>
        <w:t>adote</w:t>
      </w:r>
      <w:r w:rsidRPr="00A42508">
        <w:rPr>
          <w:rFonts w:ascii="Calibri" w:hAnsi="Calibri" w:cs="Calibri"/>
          <w:sz w:val="24"/>
          <w:szCs w:val="24"/>
        </w:rPr>
        <w:t xml:space="preserve"> providências eficazes visando ao saneamento das demais impropriedades apontadas no relatório da fiscalização.</w:t>
      </w:r>
    </w:p>
    <w:p w:rsidR="00D230C8" w:rsidRPr="00D230C8" w:rsidP="00D230C8" w14:paraId="5169EB94" w14:textId="77777777">
      <w:pPr>
        <w:spacing w:before="240"/>
        <w:jc w:val="both"/>
        <w:rPr>
          <w:sz w:val="24"/>
          <w:szCs w:val="24"/>
        </w:rPr>
      </w:pPr>
      <w:r w:rsidRPr="008E0A0F">
        <w:rPr>
          <w:rFonts w:ascii="Calibri" w:hAnsi="Calibri" w:cs="Calibri"/>
          <w:sz w:val="24"/>
          <w:szCs w:val="24"/>
          <w:shd w:val="clear" w:color="auto" w:fill="FFFFFF"/>
        </w:rPr>
        <w:tab/>
      </w:r>
      <w:r w:rsidRPr="00D230C8">
        <w:rPr>
          <w:rFonts w:ascii="Calibri" w:hAnsi="Calibri" w:cs="Calibri"/>
          <w:sz w:val="24"/>
          <w:szCs w:val="24"/>
          <w:shd w:val="clear" w:color="auto" w:fill="FFFFFF"/>
        </w:rPr>
        <w:t>De modo complementar alertou o responsável para sanar as impropriedades registradas pelo IEG-M para dar maior efetividade aos serviços prestados à comunidade.</w:t>
      </w:r>
    </w:p>
    <w:p w:rsidR="00D230C8" w:rsidRPr="00D230C8" w:rsidP="00D230C8" w14:paraId="677F70A5" w14:textId="77777777">
      <w:pPr>
        <w:rPr>
          <w:sz w:val="24"/>
          <w:szCs w:val="24"/>
        </w:rPr>
      </w:pPr>
    </w:p>
    <w:p w:rsidR="00A42508" w:rsidP="00D230C8" w14:paraId="0EDA05BD" w14:textId="77777777">
      <w:pPr>
        <w:jc w:val="both"/>
        <w:rPr>
          <w:rFonts w:ascii="Calibri" w:hAnsi="Calibri" w:cs="Calibri"/>
          <w:b/>
          <w:bCs/>
          <w:sz w:val="24"/>
          <w:szCs w:val="24"/>
          <w:u w:val="single"/>
        </w:rPr>
      </w:pPr>
    </w:p>
    <w:p w:rsidR="00D230C8" w:rsidRPr="00D230C8" w:rsidP="00D230C8" w14:paraId="1F1148A7" w14:textId="77777777">
      <w:pPr>
        <w:jc w:val="both"/>
        <w:rPr>
          <w:sz w:val="24"/>
          <w:szCs w:val="24"/>
        </w:rPr>
      </w:pPr>
      <w:r w:rsidRPr="00D230C8">
        <w:rPr>
          <w:rFonts w:ascii="Calibri" w:hAnsi="Calibri" w:cs="Calibri"/>
          <w:b/>
          <w:bCs/>
          <w:sz w:val="24"/>
          <w:szCs w:val="24"/>
          <w:u w:val="single"/>
        </w:rPr>
        <w:t>Da Conclusão</w:t>
      </w:r>
      <w:r w:rsidRPr="00D230C8">
        <w:rPr>
          <w:rFonts w:ascii="Calibri" w:hAnsi="Calibri" w:cs="Calibri"/>
          <w:sz w:val="24"/>
          <w:szCs w:val="24"/>
        </w:rPr>
        <w:t> </w:t>
      </w:r>
    </w:p>
    <w:p w:rsidR="00D230C8" w:rsidRPr="00D230C8" w:rsidP="00D230C8" w14:paraId="751CF8EB" w14:textId="77777777">
      <w:pPr>
        <w:spacing w:before="240" w:after="240"/>
        <w:ind w:firstLine="700"/>
        <w:jc w:val="both"/>
        <w:rPr>
          <w:sz w:val="24"/>
          <w:szCs w:val="24"/>
        </w:rPr>
      </w:pPr>
      <w:r w:rsidRPr="00D230C8">
        <w:rPr>
          <w:rFonts w:ascii="Calibri" w:hAnsi="Calibri" w:cs="Calibri"/>
          <w:sz w:val="24"/>
          <w:szCs w:val="24"/>
        </w:rPr>
        <w:t xml:space="preserve">O Tribunal de Contas do Estado de São Paulo encaminhou a esta Casa Legislativa o </w:t>
      </w:r>
      <w:r w:rsidRPr="00D230C8">
        <w:rPr>
          <w:rFonts w:ascii="Calibri" w:hAnsi="Calibri" w:cs="Calibri"/>
          <w:b/>
          <w:bCs/>
          <w:sz w:val="24"/>
          <w:szCs w:val="24"/>
        </w:rPr>
        <w:t xml:space="preserve">Processo </w:t>
      </w:r>
      <w:r w:rsidRPr="00D230C8">
        <w:rPr>
          <w:rFonts w:ascii="Calibri" w:hAnsi="Calibri" w:cs="Calibri"/>
          <w:b/>
          <w:bCs/>
          <w:sz w:val="24"/>
          <w:szCs w:val="24"/>
          <w:u w:val="single"/>
        </w:rPr>
        <w:t>TC  Nº</w:t>
      </w:r>
      <w:r w:rsidRPr="00D230C8">
        <w:rPr>
          <w:rFonts w:ascii="Calibri" w:hAnsi="Calibri" w:cs="Calibri"/>
          <w:b/>
          <w:bCs/>
          <w:sz w:val="24"/>
          <w:szCs w:val="24"/>
          <w:u w:val="single"/>
        </w:rPr>
        <w:t xml:space="preserve"> 004541.989.23-2 </w:t>
      </w:r>
      <w:r w:rsidRPr="00D230C8">
        <w:rPr>
          <w:rFonts w:ascii="Calibri" w:hAnsi="Calibri" w:cs="Calibri"/>
          <w:sz w:val="24"/>
          <w:szCs w:val="24"/>
        </w:rPr>
        <w:t xml:space="preserve">, referente à </w:t>
      </w:r>
      <w:r w:rsidRPr="00D230C8">
        <w:rPr>
          <w:rFonts w:ascii="Calibri" w:hAnsi="Calibri" w:cs="Calibri"/>
          <w:b/>
          <w:bCs/>
          <w:sz w:val="24"/>
          <w:szCs w:val="24"/>
        </w:rPr>
        <w:t>Prestação de Contas da Prefeitura</w:t>
      </w:r>
      <w:r w:rsidRPr="00D230C8">
        <w:rPr>
          <w:rFonts w:ascii="Calibri" w:hAnsi="Calibri" w:cs="Calibri"/>
          <w:sz w:val="24"/>
          <w:szCs w:val="24"/>
        </w:rPr>
        <w:t xml:space="preserve"> </w:t>
      </w:r>
      <w:r w:rsidRPr="00D230C8">
        <w:rPr>
          <w:rFonts w:ascii="Calibri" w:hAnsi="Calibri" w:cs="Calibri"/>
          <w:b/>
          <w:bCs/>
          <w:sz w:val="24"/>
          <w:szCs w:val="24"/>
        </w:rPr>
        <w:t>Municipal de Mogi Mirim, do exercício de 2023</w:t>
      </w:r>
      <w:r w:rsidRPr="00D230C8">
        <w:rPr>
          <w:rFonts w:ascii="Calibri" w:hAnsi="Calibri" w:cs="Calibri"/>
          <w:sz w:val="24"/>
          <w:szCs w:val="24"/>
        </w:rPr>
        <w:t>.</w:t>
      </w:r>
    </w:p>
    <w:p w:rsidR="00D230C8" w:rsidRPr="00D230C8" w:rsidP="00D230C8" w14:paraId="73864FCC" w14:textId="77777777">
      <w:pPr>
        <w:spacing w:before="240"/>
        <w:ind w:firstLine="720"/>
        <w:jc w:val="both"/>
        <w:rPr>
          <w:sz w:val="24"/>
          <w:szCs w:val="24"/>
        </w:rPr>
      </w:pPr>
      <w:r w:rsidRPr="00D230C8">
        <w:rPr>
          <w:rFonts w:ascii="Calibri" w:hAnsi="Calibri" w:cs="Calibri"/>
          <w:sz w:val="24"/>
          <w:szCs w:val="24"/>
        </w:rPr>
        <w:t xml:space="preserve"> De acordo com o disposto no Art. 59, seus respectivos parágrafos da LOMM - Lei Orgânica do Município de Mogi Mirim, e aos Artigos nº 29, 33, 37 e 54 do Regimento Interno vigente, cabe à Comissão de Finanças e Orçamento emitir parecer sobre a Prestação de contas do Executivo Municipal, neste caso, especificamente do exercício 2023.  Desta forma, a </w:t>
      </w:r>
      <w:r w:rsidRPr="00D230C8">
        <w:rPr>
          <w:rFonts w:ascii="Calibri" w:hAnsi="Calibri" w:cs="Calibri"/>
          <w:sz w:val="24"/>
          <w:szCs w:val="24"/>
        </w:rPr>
        <w:t>prestação de contas esteve em poder da comissão pelo prazo regimental de 15 (quinze) dias, sendo a contagem iniciada no dia 22 de setembro de 2025, findando-se no dia 06 de outubro de 2025, data limite que esta comissão deve exarar seu parecer sobre a matéria.</w:t>
      </w:r>
    </w:p>
    <w:p w:rsidR="00D230C8" w:rsidRPr="00D230C8" w:rsidP="00D230C8" w14:paraId="02B02BD7" w14:textId="77777777">
      <w:pPr>
        <w:spacing w:before="240"/>
        <w:ind w:firstLine="720"/>
        <w:jc w:val="both"/>
        <w:rPr>
          <w:sz w:val="24"/>
          <w:szCs w:val="24"/>
        </w:rPr>
      </w:pPr>
      <w:r w:rsidRPr="00D230C8">
        <w:rPr>
          <w:rFonts w:ascii="Calibri" w:hAnsi="Calibri" w:cs="Calibri"/>
          <w:sz w:val="24"/>
          <w:szCs w:val="24"/>
        </w:rPr>
        <w:t> Neste sentido, a Comissão de Finanças e Orçamento, em análise ao Processo n° 111 de 2025, que dispõe sobre a PRESTAÇÃO DE CONTAS DA ADMINISTRAÇÃO FINANCEIRA, ORÇAMENTÁRIA E PATRIMONIAL - EXERCÍCIO 2023 - PREFEITO PAULO DE OLIVEIRA E SILVA, eTC-</w:t>
      </w:r>
      <w:r w:rsidRPr="00D230C8">
        <w:rPr>
          <w:rFonts w:ascii="Calibri" w:hAnsi="Calibri" w:cs="Calibri"/>
          <w:b/>
          <w:bCs/>
          <w:sz w:val="24"/>
          <w:szCs w:val="24"/>
          <w:u w:val="single"/>
        </w:rPr>
        <w:t>004541.989.23-2</w:t>
      </w:r>
      <w:r w:rsidRPr="00D230C8">
        <w:rPr>
          <w:rFonts w:ascii="Calibri" w:hAnsi="Calibri" w:cs="Calibri"/>
          <w:sz w:val="24"/>
          <w:szCs w:val="24"/>
        </w:rPr>
        <w:t>, constatando a emissão do parecer prévio favorável do Tribunal de Contas do Estado de São Paulo, na sessão de 18 de março de 2025, da E. Segunda Câmara do Tribunal de Contas do Estado de São Paulo proferida com alertas já mencionados neste relatório, em atenção aos preceitos regimentais, emanou todas notificações necessárias para que o Prefeito, querendo, pudesse utilizar do seu direito de ampla defesa, na forma que segue todos apensados nos autos do presente processo.</w:t>
      </w:r>
    </w:p>
    <w:p w:rsidR="00D230C8" w:rsidRPr="00D230C8" w:rsidP="00D230C8" w14:paraId="3B8E8BC8" w14:textId="77777777">
      <w:pPr>
        <w:spacing w:before="240"/>
        <w:ind w:firstLine="720"/>
        <w:jc w:val="both"/>
        <w:rPr>
          <w:sz w:val="24"/>
          <w:szCs w:val="24"/>
        </w:rPr>
      </w:pPr>
      <w:r w:rsidRPr="00D230C8">
        <w:rPr>
          <w:rFonts w:ascii="Calibri" w:hAnsi="Calibri" w:cs="Calibri"/>
          <w:sz w:val="24"/>
          <w:szCs w:val="24"/>
        </w:rPr>
        <w:t xml:space="preserve">Diante de todo o exposto, considerando que a Administração cumpriu com as obrigações constitucionais, legais e de maneira regular, esta Comissão se manifesta de modo a </w:t>
      </w:r>
      <w:r w:rsidRPr="00D230C8">
        <w:rPr>
          <w:rFonts w:ascii="Calibri" w:hAnsi="Calibri" w:cs="Calibri"/>
          <w:b/>
          <w:bCs/>
          <w:sz w:val="24"/>
          <w:szCs w:val="24"/>
        </w:rPr>
        <w:t xml:space="preserve">CONCORDAR </w:t>
      </w:r>
      <w:r w:rsidRPr="00D230C8">
        <w:rPr>
          <w:rFonts w:ascii="Calibri" w:hAnsi="Calibri" w:cs="Calibri"/>
          <w:sz w:val="24"/>
          <w:szCs w:val="24"/>
        </w:rPr>
        <w:t xml:space="preserve">com a decisão do TCE-SP, </w:t>
      </w:r>
      <w:r w:rsidRPr="00D230C8">
        <w:rPr>
          <w:rFonts w:ascii="Calibri" w:hAnsi="Calibri" w:cs="Calibri"/>
          <w:sz w:val="24"/>
          <w:szCs w:val="24"/>
          <w:u w:val="single"/>
        </w:rPr>
        <w:t xml:space="preserve">opinando, pela </w:t>
      </w:r>
      <w:r w:rsidRPr="00D230C8">
        <w:rPr>
          <w:rFonts w:ascii="Calibri" w:hAnsi="Calibri" w:cs="Calibri"/>
          <w:b/>
          <w:bCs/>
          <w:sz w:val="24"/>
          <w:szCs w:val="24"/>
          <w:u w:val="single"/>
        </w:rPr>
        <w:t>APROVAÇÃO</w:t>
      </w:r>
      <w:r w:rsidRPr="00D230C8">
        <w:rPr>
          <w:rFonts w:ascii="Calibri" w:hAnsi="Calibri" w:cs="Calibri"/>
          <w:sz w:val="24"/>
          <w:szCs w:val="24"/>
          <w:u w:val="single"/>
        </w:rPr>
        <w:t xml:space="preserve"> das Contas da Prefeitura Municipal de Mogi Mirim, para o exercício fiscal de 2023. </w:t>
      </w:r>
    </w:p>
    <w:p w:rsidR="00D230C8" w:rsidRPr="00D230C8" w:rsidP="00D230C8" w14:paraId="669545BB" w14:textId="6D5F817C">
      <w:pPr>
        <w:spacing w:before="240" w:after="240"/>
        <w:rPr>
          <w:sz w:val="24"/>
          <w:szCs w:val="24"/>
        </w:rPr>
      </w:pPr>
    </w:p>
    <w:p w:rsidR="00D230C8" w:rsidRPr="00D230C8" w:rsidP="00D230C8" w14:paraId="07A1121F" w14:textId="35C1AD97">
      <w:pPr>
        <w:spacing w:before="240"/>
        <w:jc w:val="center"/>
        <w:rPr>
          <w:sz w:val="24"/>
          <w:szCs w:val="24"/>
        </w:rPr>
      </w:pPr>
      <w:r w:rsidRPr="00D230C8">
        <w:rPr>
          <w:rFonts w:ascii="Calibri" w:hAnsi="Calibri" w:cs="Calibri"/>
          <w:sz w:val="24"/>
          <w:szCs w:val="24"/>
        </w:rPr>
        <w:t>Sala das Comissões, 0</w:t>
      </w:r>
      <w:r w:rsidR="00954FBC">
        <w:rPr>
          <w:rFonts w:ascii="Calibri" w:hAnsi="Calibri" w:cs="Calibri"/>
          <w:sz w:val="24"/>
          <w:szCs w:val="24"/>
        </w:rPr>
        <w:t>6</w:t>
      </w:r>
      <w:r w:rsidRPr="00D230C8">
        <w:rPr>
          <w:rFonts w:ascii="Calibri" w:hAnsi="Calibri" w:cs="Calibri"/>
          <w:sz w:val="24"/>
          <w:szCs w:val="24"/>
        </w:rPr>
        <w:t xml:space="preserve"> de outubro de 2025.</w:t>
      </w:r>
    </w:p>
    <w:p w:rsidR="00A42508" w:rsidP="00D230C8" w14:paraId="03F752EF" w14:textId="77777777">
      <w:pPr>
        <w:spacing w:before="240" w:after="240"/>
        <w:jc w:val="center"/>
        <w:rPr>
          <w:rFonts w:ascii="Calibri" w:hAnsi="Calibri" w:cs="Calibri"/>
          <w:b/>
          <w:bCs/>
          <w:sz w:val="24"/>
          <w:szCs w:val="24"/>
          <w:u w:val="single"/>
          <w:shd w:val="clear" w:color="auto" w:fill="FFFFFF"/>
        </w:rPr>
      </w:pPr>
    </w:p>
    <w:p w:rsidR="00D230C8" w:rsidRPr="00D230C8" w:rsidP="00D230C8" w14:paraId="4940D40D" w14:textId="77777777">
      <w:pPr>
        <w:spacing w:before="240" w:after="240"/>
        <w:jc w:val="center"/>
        <w:rPr>
          <w:sz w:val="24"/>
          <w:szCs w:val="24"/>
        </w:rPr>
      </w:pPr>
      <w:r w:rsidRPr="00D230C8">
        <w:rPr>
          <w:rFonts w:ascii="Calibri" w:hAnsi="Calibri" w:cs="Calibri"/>
          <w:b/>
          <w:bCs/>
          <w:sz w:val="24"/>
          <w:szCs w:val="24"/>
          <w:u w:val="single"/>
          <w:shd w:val="clear" w:color="auto" w:fill="FFFFFF"/>
        </w:rPr>
        <w:t> </w:t>
      </w:r>
      <w:r w:rsidRPr="00D230C8">
        <w:rPr>
          <w:rFonts w:ascii="Calibri" w:hAnsi="Calibri" w:cs="Calibri"/>
          <w:b/>
          <w:bCs/>
          <w:sz w:val="24"/>
          <w:szCs w:val="24"/>
          <w:u w:val="single"/>
        </w:rPr>
        <w:t>COMISSÃO DE FINANÇAS E ORÇAMENTO</w:t>
      </w:r>
    </w:p>
    <w:p w:rsidR="00D230C8" w:rsidRPr="00D230C8" w:rsidP="00A42508" w14:paraId="5713D7AE" w14:textId="77777777">
      <w:pPr>
        <w:spacing w:before="240" w:after="240"/>
        <w:contextualSpacing/>
        <w:jc w:val="center"/>
        <w:rPr>
          <w:sz w:val="24"/>
          <w:szCs w:val="24"/>
        </w:rPr>
      </w:pPr>
      <w:r w:rsidRPr="00D230C8">
        <w:rPr>
          <w:rFonts w:ascii="Calibri" w:hAnsi="Calibri" w:cs="Calibri"/>
          <w:b/>
          <w:bCs/>
          <w:sz w:val="24"/>
          <w:szCs w:val="24"/>
          <w:u w:val="single"/>
        </w:rPr>
        <w:br/>
      </w:r>
      <w:r w:rsidRPr="00D230C8">
        <w:rPr>
          <w:rFonts w:ascii="Calibri" w:hAnsi="Calibri" w:cs="Calibri"/>
          <w:i/>
          <w:iCs/>
        </w:rPr>
        <w:t>(</w:t>
      </w:r>
      <w:r w:rsidRPr="00D230C8">
        <w:rPr>
          <w:rFonts w:ascii="Calibri" w:hAnsi="Calibri" w:cs="Calibri"/>
          <w:i/>
          <w:iCs/>
        </w:rPr>
        <w:t>assinado</w:t>
      </w:r>
      <w:r w:rsidRPr="00D230C8">
        <w:rPr>
          <w:rFonts w:ascii="Calibri" w:hAnsi="Calibri" w:cs="Calibri"/>
          <w:i/>
          <w:iCs/>
        </w:rPr>
        <w:t xml:space="preserve"> digitalmente)</w:t>
      </w:r>
    </w:p>
    <w:p w:rsidR="00D230C8" w:rsidRPr="00D230C8" w:rsidP="00A42508" w14:paraId="2F4609B3" w14:textId="77777777">
      <w:pPr>
        <w:spacing w:before="240" w:after="240"/>
        <w:contextualSpacing/>
        <w:jc w:val="center"/>
        <w:rPr>
          <w:sz w:val="24"/>
          <w:szCs w:val="24"/>
        </w:rPr>
      </w:pPr>
      <w:r w:rsidRPr="00D230C8">
        <w:rPr>
          <w:rFonts w:ascii="Calibri" w:hAnsi="Calibri" w:cs="Calibri"/>
          <w:b/>
          <w:bCs/>
          <w:sz w:val="24"/>
          <w:szCs w:val="24"/>
        </w:rPr>
        <w:t>VEREADORA MARA CRISTINA CHOQUETTA</w:t>
      </w:r>
    </w:p>
    <w:p w:rsidR="00D230C8" w:rsidRPr="00D230C8" w:rsidP="00A42508" w14:paraId="2CEEE98D" w14:textId="77777777">
      <w:pPr>
        <w:spacing w:before="240"/>
        <w:contextualSpacing/>
        <w:jc w:val="center"/>
        <w:rPr>
          <w:sz w:val="24"/>
          <w:szCs w:val="24"/>
        </w:rPr>
      </w:pPr>
      <w:r w:rsidRPr="00D230C8">
        <w:rPr>
          <w:rFonts w:ascii="Calibri" w:hAnsi="Calibri" w:cs="Calibri"/>
          <w:sz w:val="24"/>
          <w:szCs w:val="24"/>
        </w:rPr>
        <w:t>Presidente- Relatora</w:t>
      </w:r>
    </w:p>
    <w:p w:rsidR="00A42508" w:rsidP="00A42508" w14:paraId="787F52E1" w14:textId="77777777">
      <w:pPr>
        <w:spacing w:before="240" w:after="240"/>
        <w:contextualSpacing/>
        <w:jc w:val="center"/>
        <w:rPr>
          <w:rFonts w:ascii="Calibri" w:hAnsi="Calibri" w:cs="Calibri"/>
          <w:sz w:val="24"/>
          <w:szCs w:val="24"/>
        </w:rPr>
      </w:pPr>
    </w:p>
    <w:p w:rsidR="00D230C8" w:rsidRPr="00D230C8" w:rsidP="00A42508" w14:paraId="648291AC" w14:textId="77777777">
      <w:pPr>
        <w:spacing w:before="240" w:after="240"/>
        <w:contextualSpacing/>
        <w:jc w:val="center"/>
        <w:rPr>
          <w:sz w:val="24"/>
          <w:szCs w:val="24"/>
        </w:rPr>
      </w:pPr>
      <w:r w:rsidRPr="00D230C8">
        <w:rPr>
          <w:rFonts w:ascii="Calibri" w:hAnsi="Calibri" w:cs="Calibri"/>
          <w:sz w:val="24"/>
          <w:szCs w:val="24"/>
        </w:rPr>
        <w:br/>
      </w:r>
      <w:r w:rsidRPr="00D230C8">
        <w:rPr>
          <w:rFonts w:ascii="Calibri" w:hAnsi="Calibri" w:cs="Calibri"/>
          <w:i/>
          <w:iCs/>
        </w:rPr>
        <w:t>(</w:t>
      </w:r>
      <w:r w:rsidRPr="00D230C8">
        <w:rPr>
          <w:rFonts w:ascii="Calibri" w:hAnsi="Calibri" w:cs="Calibri"/>
          <w:i/>
          <w:iCs/>
        </w:rPr>
        <w:t>assinado</w:t>
      </w:r>
      <w:r w:rsidRPr="00D230C8">
        <w:rPr>
          <w:rFonts w:ascii="Calibri" w:hAnsi="Calibri" w:cs="Calibri"/>
          <w:i/>
          <w:iCs/>
        </w:rPr>
        <w:t xml:space="preserve"> digitalmente)</w:t>
      </w:r>
    </w:p>
    <w:p w:rsidR="00D230C8" w:rsidRPr="00D230C8" w:rsidP="00A42508" w14:paraId="001B7052" w14:textId="77777777">
      <w:pPr>
        <w:spacing w:before="240"/>
        <w:contextualSpacing/>
        <w:jc w:val="center"/>
        <w:rPr>
          <w:sz w:val="24"/>
          <w:szCs w:val="24"/>
        </w:rPr>
      </w:pPr>
      <w:r w:rsidRPr="00D230C8">
        <w:rPr>
          <w:rFonts w:ascii="Calibri" w:hAnsi="Calibri" w:cs="Calibri"/>
          <w:b/>
          <w:bCs/>
          <w:sz w:val="24"/>
          <w:szCs w:val="24"/>
        </w:rPr>
        <w:t>VEREADOR MÁRCIO DENNER CORAN</w:t>
      </w:r>
    </w:p>
    <w:p w:rsidR="00D230C8" w:rsidRPr="00D230C8" w:rsidP="00A42508" w14:paraId="37B09E6E" w14:textId="77777777">
      <w:pPr>
        <w:spacing w:before="240"/>
        <w:contextualSpacing/>
        <w:jc w:val="center"/>
        <w:rPr>
          <w:sz w:val="24"/>
          <w:szCs w:val="24"/>
        </w:rPr>
      </w:pPr>
      <w:r w:rsidRPr="00D230C8">
        <w:rPr>
          <w:rFonts w:ascii="Calibri" w:hAnsi="Calibri" w:cs="Calibri"/>
          <w:sz w:val="24"/>
          <w:szCs w:val="24"/>
        </w:rPr>
        <w:t>Vice - Presidente</w:t>
      </w:r>
    </w:p>
    <w:p w:rsidR="00D230C8" w:rsidP="00A42508" w14:paraId="0DBAB4FD" w14:textId="77777777">
      <w:pPr>
        <w:contextualSpacing/>
        <w:rPr>
          <w:sz w:val="24"/>
          <w:szCs w:val="24"/>
        </w:rPr>
      </w:pPr>
    </w:p>
    <w:p w:rsidR="00A42508" w:rsidRPr="00D230C8" w:rsidP="00A42508" w14:paraId="479B7295" w14:textId="77777777">
      <w:pPr>
        <w:contextualSpacing/>
        <w:rPr>
          <w:sz w:val="24"/>
          <w:szCs w:val="24"/>
        </w:rPr>
      </w:pPr>
    </w:p>
    <w:p w:rsidR="00D230C8" w:rsidRPr="00D230C8" w:rsidP="00A42508" w14:paraId="4EBDF34C" w14:textId="77777777">
      <w:pPr>
        <w:spacing w:before="240" w:after="240"/>
        <w:contextualSpacing/>
        <w:jc w:val="center"/>
        <w:rPr>
          <w:sz w:val="24"/>
          <w:szCs w:val="24"/>
        </w:rPr>
      </w:pPr>
      <w:r w:rsidRPr="00D230C8">
        <w:rPr>
          <w:rFonts w:ascii="Calibri" w:hAnsi="Calibri" w:cs="Calibri"/>
          <w:i/>
          <w:iCs/>
        </w:rPr>
        <w:t>(</w:t>
      </w:r>
      <w:r w:rsidRPr="00D230C8">
        <w:rPr>
          <w:rFonts w:ascii="Calibri" w:hAnsi="Calibri" w:cs="Calibri"/>
          <w:i/>
          <w:iCs/>
        </w:rPr>
        <w:t>assinado</w:t>
      </w:r>
      <w:r w:rsidRPr="00D230C8">
        <w:rPr>
          <w:rFonts w:ascii="Calibri" w:hAnsi="Calibri" w:cs="Calibri"/>
          <w:i/>
          <w:iCs/>
        </w:rPr>
        <w:t xml:space="preserve"> digitalmente)</w:t>
      </w:r>
      <w:r w:rsidRPr="00D230C8">
        <w:rPr>
          <w:rFonts w:ascii="Calibri" w:hAnsi="Calibri" w:cs="Calibri"/>
          <w:sz w:val="24"/>
          <w:szCs w:val="24"/>
        </w:rPr>
        <w:br/>
        <w:t xml:space="preserve"> </w:t>
      </w:r>
      <w:r w:rsidRPr="00D230C8">
        <w:rPr>
          <w:rFonts w:ascii="Calibri" w:hAnsi="Calibri" w:cs="Calibri"/>
          <w:b/>
          <w:bCs/>
          <w:sz w:val="24"/>
          <w:szCs w:val="24"/>
        </w:rPr>
        <w:t>VEREADOR MARCOS PAULO CEGATTI</w:t>
      </w:r>
    </w:p>
    <w:p w:rsidR="00D230C8" w:rsidRPr="00D230C8" w:rsidP="00A42508" w14:paraId="682B9CF3" w14:textId="77777777">
      <w:pPr>
        <w:spacing w:before="240"/>
        <w:contextualSpacing/>
        <w:jc w:val="center"/>
        <w:rPr>
          <w:sz w:val="24"/>
          <w:szCs w:val="24"/>
        </w:rPr>
      </w:pPr>
      <w:r w:rsidRPr="00D230C8">
        <w:rPr>
          <w:rFonts w:ascii="Calibri" w:hAnsi="Calibri" w:cs="Calibri"/>
          <w:sz w:val="24"/>
          <w:szCs w:val="24"/>
        </w:rPr>
        <w:t>Membro</w:t>
      </w:r>
    </w:p>
    <w:p w:rsidR="0020584A" w:rsidRPr="008E0A0F" w:rsidP="00D230C8" w14:paraId="2E9151FD" w14:textId="237E1D20">
      <w:pPr>
        <w:spacing w:after="240"/>
        <w:rPr>
          <w:rStyle w:val="Strong"/>
          <w:rFonts w:asciiTheme="majorHAnsi" w:hAnsiTheme="majorHAnsi" w:cstheme="majorHAnsi"/>
          <w:b w:val="0"/>
          <w:bCs w:val="0"/>
        </w:rPr>
      </w:pPr>
      <w:r w:rsidRPr="008E0A0F">
        <w:rPr>
          <w:sz w:val="24"/>
          <w:szCs w:val="24"/>
        </w:rPr>
        <w:br/>
      </w:r>
      <w:r w:rsidRPr="008E0A0F">
        <w:rPr>
          <w:sz w:val="24"/>
          <w:szCs w:val="24"/>
        </w:rPr>
        <w:br/>
      </w:r>
      <w:r w:rsidRPr="008E0A0F">
        <w:rPr>
          <w:rStyle w:val="Strong"/>
          <w:rFonts w:asciiTheme="majorHAnsi" w:hAnsiTheme="majorHAnsi" w:cstheme="majorHAnsi"/>
        </w:rPr>
        <w:t xml:space="preserve"> </w:t>
      </w:r>
    </w:p>
    <w:p w:rsidR="0020584A" w:rsidRPr="008E0A0F" w:rsidP="00D677F3" w14:paraId="18031960" w14:textId="77777777">
      <w:pPr>
        <w:pStyle w:val="NormalWeb"/>
        <w:spacing w:after="0" w:afterAutospacing="0"/>
        <w:contextualSpacing/>
        <w:jc w:val="both"/>
        <w:rPr>
          <w:rStyle w:val="Strong"/>
          <w:rFonts w:asciiTheme="majorHAnsi" w:hAnsiTheme="majorHAnsi" w:cstheme="majorHAnsi"/>
        </w:rPr>
      </w:pPr>
    </w:p>
    <w:p w:rsidR="00F13148" w:rsidRPr="008E0A0F" w:rsidP="00D677F3" w14:paraId="49F12FC5" w14:textId="77777777">
      <w:pPr>
        <w:pStyle w:val="NormalWeb"/>
        <w:spacing w:after="0" w:afterAutospacing="0"/>
        <w:contextualSpacing/>
        <w:jc w:val="both"/>
        <w:rPr>
          <w:rFonts w:asciiTheme="majorHAnsi" w:hAnsiTheme="majorHAnsi" w:cstheme="majorHAnsi"/>
        </w:rPr>
      </w:pPr>
    </w:p>
    <w:sectPr w:rsidSect="00914ADC">
      <w:headerReference w:type="even" r:id="rId6"/>
      <w:headerReference w:type="default" r:id="rId7"/>
      <w:footerReference w:type="default" r:id="rId8"/>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568C" w14:paraId="456B7CF5" w14:textId="77777777">
    <w:pPr>
      <w:pBdr>
        <w:top w:val="nil"/>
        <w:left w:val="nil"/>
        <w:bottom w:val="nil"/>
        <w:right w:val="nil"/>
        <w:between w:val="nil"/>
      </w:pBdr>
      <w:tabs>
        <w:tab w:val="center" w:pos="4419"/>
        <w:tab w:val="right" w:pos="8838"/>
      </w:tabs>
      <w:jc w:val="center"/>
      <w:rPr>
        <w:b/>
        <w:bCs/>
        <w:color w:val="000000"/>
        <w:sz w:val="18"/>
        <w:szCs w:val="18"/>
      </w:rPr>
    </w:pPr>
  </w:p>
  <w:p w:rsidR="0045568C" w14:paraId="47A5907B" w14:textId="77777777">
    <w:pPr>
      <w:pBdr>
        <w:top w:val="nil"/>
        <w:left w:val="nil"/>
        <w:bottom w:val="nil"/>
        <w:right w:val="nil"/>
        <w:between w:val="nil"/>
      </w:pBdr>
      <w:tabs>
        <w:tab w:val="center" w:pos="4419"/>
        <w:tab w:val="right" w:pos="8838"/>
      </w:tabs>
      <w:jc w:val="center"/>
      <w:rPr>
        <w:b/>
        <w:bCs/>
        <w:color w:val="000000"/>
        <w:sz w:val="18"/>
        <w:szCs w:val="18"/>
      </w:rPr>
    </w:pPr>
  </w:p>
  <w:p w:rsidR="0045568C" w:rsidRPr="0020165D" w14:paraId="35A4917B" w14:textId="77777777">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568C" w14:paraId="4FF361A1"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45568C" w14:paraId="46F5384D"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568C" w:rsidP="00F81655" w14:paraId="1B756268" w14:textId="77777777">
    <w:pPr>
      <w:pBdr>
        <w:top w:val="nil"/>
        <w:left w:val="nil"/>
        <w:bottom w:val="nil"/>
        <w:right w:val="nil"/>
        <w:between w:val="nil"/>
      </w:pBdr>
      <w:ind w:right="360"/>
      <w:jc w:val="center"/>
      <w:rPr>
        <w:rFonts w:ascii="Bookman Old Style" w:eastAsia="Arial" w:hAnsi="Bookman Old Style" w:cs="Arial"/>
        <w:b/>
        <w:color w:val="000000"/>
        <w:sz w:val="36"/>
        <w:szCs w:val="36"/>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-340995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8A537A">
      <w:rPr>
        <w:rFonts w:ascii="Bookman Old Style" w:eastAsia="Arial" w:hAnsi="Bookman Old Style" w:cs="Arial"/>
        <w:b/>
        <w:color w:val="000000"/>
        <w:sz w:val="36"/>
        <w:szCs w:val="36"/>
      </w:rPr>
      <w:t>CÂMARA MUNICIPAL DE MOGI MIRIM</w:t>
    </w:r>
  </w:p>
  <w:p w:rsidR="0045568C" w:rsidP="008A537A" w14:paraId="014D02E2" w14:textId="77777777">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color w:val="000000"/>
        <w:sz w:val="24"/>
        <w:szCs w:val="24"/>
      </w:rPr>
      <w:t>Estado de São Paulo</w:t>
    </w:r>
  </w:p>
  <w:p w:rsidR="008E0A0F" w:rsidRPr="0020165D" w:rsidP="008A537A" w14:paraId="14E706A9" w14:textId="6BAF1819">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Pr>
        <w:rFonts w:ascii="Bookman Old Style" w:eastAsia="Arial" w:hAnsi="Bookman Old Style" w:cs="Arial"/>
        <w:b/>
        <w:color w:val="000000"/>
        <w:sz w:val="24"/>
        <w:szCs w:val="24"/>
      </w:rPr>
      <w:t>Comissão Permanente de Finanças e Orçamento 2025/2026</w:t>
    </w:r>
  </w:p>
  <w:p w:rsidR="0045568C" w:rsidRPr="00F733EC" w14:paraId="02743614"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D555B8"/>
    <w:multiLevelType w:val="hybridMultilevel"/>
    <w:tmpl w:val="C0808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693ECA"/>
    <w:multiLevelType w:val="hybridMultilevel"/>
    <w:tmpl w:val="2EF0F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BF2299"/>
    <w:multiLevelType w:val="hybridMultilevel"/>
    <w:tmpl w:val="E1AAE8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031C57"/>
    <w:multiLevelType w:val="hybridMultilevel"/>
    <w:tmpl w:val="D52C7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1DF2BCF"/>
    <w:multiLevelType w:val="multilevel"/>
    <w:tmpl w:val="A896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8952D1"/>
    <w:multiLevelType w:val="hybridMultilevel"/>
    <w:tmpl w:val="DB4EC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B047D5"/>
    <w:multiLevelType w:val="hybridMultilevel"/>
    <w:tmpl w:val="01C2B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2D65849"/>
    <w:multiLevelType w:val="hybridMultilevel"/>
    <w:tmpl w:val="8506C1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8F81115"/>
    <w:multiLevelType w:val="hybridMultilevel"/>
    <w:tmpl w:val="2054AE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5"/>
  </w:num>
  <w:num w:numId="6">
    <w:abstractNumId w:val="1"/>
  </w:num>
  <w:num w:numId="7">
    <w:abstractNumId w:val="0"/>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6797"/>
    <w:rsid w:val="00027D0F"/>
    <w:rsid w:val="00037531"/>
    <w:rsid w:val="00040239"/>
    <w:rsid w:val="00041A2D"/>
    <w:rsid w:val="000455CE"/>
    <w:rsid w:val="00057A9B"/>
    <w:rsid w:val="000622A6"/>
    <w:rsid w:val="00064FC8"/>
    <w:rsid w:val="00070FE7"/>
    <w:rsid w:val="00071EF2"/>
    <w:rsid w:val="00072EB5"/>
    <w:rsid w:val="0008150E"/>
    <w:rsid w:val="00092E53"/>
    <w:rsid w:val="00096F36"/>
    <w:rsid w:val="000A1BE0"/>
    <w:rsid w:val="000A732D"/>
    <w:rsid w:val="000B1C6D"/>
    <w:rsid w:val="000C4A24"/>
    <w:rsid w:val="000F0AD7"/>
    <w:rsid w:val="000F4933"/>
    <w:rsid w:val="00126AE5"/>
    <w:rsid w:val="00150EF4"/>
    <w:rsid w:val="0015590E"/>
    <w:rsid w:val="00181506"/>
    <w:rsid w:val="00187FC6"/>
    <w:rsid w:val="001902E0"/>
    <w:rsid w:val="00192536"/>
    <w:rsid w:val="001931ED"/>
    <w:rsid w:val="001A3CE4"/>
    <w:rsid w:val="001B7303"/>
    <w:rsid w:val="001E6B03"/>
    <w:rsid w:val="001F7F66"/>
    <w:rsid w:val="0020165D"/>
    <w:rsid w:val="0020584A"/>
    <w:rsid w:val="00213987"/>
    <w:rsid w:val="00227E2C"/>
    <w:rsid w:val="00234376"/>
    <w:rsid w:val="00282E40"/>
    <w:rsid w:val="00297379"/>
    <w:rsid w:val="002A2BD3"/>
    <w:rsid w:val="002A648D"/>
    <w:rsid w:val="002B5A45"/>
    <w:rsid w:val="002B71AC"/>
    <w:rsid w:val="002C0A99"/>
    <w:rsid w:val="002E3052"/>
    <w:rsid w:val="002F3157"/>
    <w:rsid w:val="002F589A"/>
    <w:rsid w:val="003121C8"/>
    <w:rsid w:val="00314B47"/>
    <w:rsid w:val="003200AF"/>
    <w:rsid w:val="00322469"/>
    <w:rsid w:val="00325F92"/>
    <w:rsid w:val="00346786"/>
    <w:rsid w:val="00371A69"/>
    <w:rsid w:val="003758D2"/>
    <w:rsid w:val="0038129E"/>
    <w:rsid w:val="00381C00"/>
    <w:rsid w:val="003A2ADE"/>
    <w:rsid w:val="003A5737"/>
    <w:rsid w:val="003A796B"/>
    <w:rsid w:val="003B1A59"/>
    <w:rsid w:val="003C6BCB"/>
    <w:rsid w:val="003D250F"/>
    <w:rsid w:val="003D6D21"/>
    <w:rsid w:val="003D7CEA"/>
    <w:rsid w:val="003E5A51"/>
    <w:rsid w:val="003E60A2"/>
    <w:rsid w:val="003F0B47"/>
    <w:rsid w:val="003F64A5"/>
    <w:rsid w:val="00405098"/>
    <w:rsid w:val="0041669F"/>
    <w:rsid w:val="00417E23"/>
    <w:rsid w:val="00423EBB"/>
    <w:rsid w:val="00446FA1"/>
    <w:rsid w:val="0045568C"/>
    <w:rsid w:val="004557B8"/>
    <w:rsid w:val="00456770"/>
    <w:rsid w:val="00472595"/>
    <w:rsid w:val="004755B6"/>
    <w:rsid w:val="00493896"/>
    <w:rsid w:val="004A4450"/>
    <w:rsid w:val="004B3FD2"/>
    <w:rsid w:val="004B6FDF"/>
    <w:rsid w:val="004C0017"/>
    <w:rsid w:val="004C076A"/>
    <w:rsid w:val="004D46DA"/>
    <w:rsid w:val="004E6092"/>
    <w:rsid w:val="00515D2F"/>
    <w:rsid w:val="005242B1"/>
    <w:rsid w:val="00524D00"/>
    <w:rsid w:val="00541A0A"/>
    <w:rsid w:val="00543E03"/>
    <w:rsid w:val="005559D9"/>
    <w:rsid w:val="0055728D"/>
    <w:rsid w:val="0057515A"/>
    <w:rsid w:val="00581E42"/>
    <w:rsid w:val="00584829"/>
    <w:rsid w:val="0059215B"/>
    <w:rsid w:val="005A235E"/>
    <w:rsid w:val="005B27A9"/>
    <w:rsid w:val="005B5D7B"/>
    <w:rsid w:val="005B766F"/>
    <w:rsid w:val="005D21C6"/>
    <w:rsid w:val="005E491E"/>
    <w:rsid w:val="005F2654"/>
    <w:rsid w:val="005F4E55"/>
    <w:rsid w:val="005F54DA"/>
    <w:rsid w:val="00607589"/>
    <w:rsid w:val="006134E3"/>
    <w:rsid w:val="00613747"/>
    <w:rsid w:val="00620B91"/>
    <w:rsid w:val="00622738"/>
    <w:rsid w:val="006231B8"/>
    <w:rsid w:val="006231BE"/>
    <w:rsid w:val="00637C5F"/>
    <w:rsid w:val="00670C69"/>
    <w:rsid w:val="006834FE"/>
    <w:rsid w:val="00697874"/>
    <w:rsid w:val="006A54A9"/>
    <w:rsid w:val="006A762A"/>
    <w:rsid w:val="006B31CF"/>
    <w:rsid w:val="006D1946"/>
    <w:rsid w:val="006E14A1"/>
    <w:rsid w:val="006F48DD"/>
    <w:rsid w:val="007038AD"/>
    <w:rsid w:val="00732164"/>
    <w:rsid w:val="00741F3B"/>
    <w:rsid w:val="00753ABE"/>
    <w:rsid w:val="007556D8"/>
    <w:rsid w:val="0078178E"/>
    <w:rsid w:val="00783794"/>
    <w:rsid w:val="00783CF0"/>
    <w:rsid w:val="00784CD4"/>
    <w:rsid w:val="00785E1B"/>
    <w:rsid w:val="007911EF"/>
    <w:rsid w:val="007A08D1"/>
    <w:rsid w:val="007B6058"/>
    <w:rsid w:val="007C6029"/>
    <w:rsid w:val="00804434"/>
    <w:rsid w:val="0081335D"/>
    <w:rsid w:val="00842408"/>
    <w:rsid w:val="00855DD2"/>
    <w:rsid w:val="008641BE"/>
    <w:rsid w:val="00864928"/>
    <w:rsid w:val="0086613A"/>
    <w:rsid w:val="008677CB"/>
    <w:rsid w:val="00881E60"/>
    <w:rsid w:val="0088465F"/>
    <w:rsid w:val="008905C2"/>
    <w:rsid w:val="008A537A"/>
    <w:rsid w:val="008C08C5"/>
    <w:rsid w:val="008C125D"/>
    <w:rsid w:val="008C4AA2"/>
    <w:rsid w:val="008E0A0F"/>
    <w:rsid w:val="008E6358"/>
    <w:rsid w:val="008F67DA"/>
    <w:rsid w:val="00902EE1"/>
    <w:rsid w:val="009048A2"/>
    <w:rsid w:val="00904ADF"/>
    <w:rsid w:val="00914ADC"/>
    <w:rsid w:val="00920A3F"/>
    <w:rsid w:val="00925E1A"/>
    <w:rsid w:val="00954FBC"/>
    <w:rsid w:val="00966576"/>
    <w:rsid w:val="0098102A"/>
    <w:rsid w:val="00983B49"/>
    <w:rsid w:val="009A2AFE"/>
    <w:rsid w:val="009C0AEC"/>
    <w:rsid w:val="009D4F58"/>
    <w:rsid w:val="009D56B8"/>
    <w:rsid w:val="009D6B7C"/>
    <w:rsid w:val="00A00E3E"/>
    <w:rsid w:val="00A12DD9"/>
    <w:rsid w:val="00A14E63"/>
    <w:rsid w:val="00A164DC"/>
    <w:rsid w:val="00A23604"/>
    <w:rsid w:val="00A2712E"/>
    <w:rsid w:val="00A27446"/>
    <w:rsid w:val="00A42508"/>
    <w:rsid w:val="00A42DE1"/>
    <w:rsid w:val="00A43436"/>
    <w:rsid w:val="00A52713"/>
    <w:rsid w:val="00A637A2"/>
    <w:rsid w:val="00A672C0"/>
    <w:rsid w:val="00A92E38"/>
    <w:rsid w:val="00AD2770"/>
    <w:rsid w:val="00AE4353"/>
    <w:rsid w:val="00AE5858"/>
    <w:rsid w:val="00AF0C05"/>
    <w:rsid w:val="00AF3296"/>
    <w:rsid w:val="00AF4AC7"/>
    <w:rsid w:val="00B33FF5"/>
    <w:rsid w:val="00B45642"/>
    <w:rsid w:val="00B52F97"/>
    <w:rsid w:val="00B57090"/>
    <w:rsid w:val="00BA48C7"/>
    <w:rsid w:val="00BE41D6"/>
    <w:rsid w:val="00BE68FF"/>
    <w:rsid w:val="00BE6938"/>
    <w:rsid w:val="00BF2A6F"/>
    <w:rsid w:val="00BF47AD"/>
    <w:rsid w:val="00C00566"/>
    <w:rsid w:val="00C076DE"/>
    <w:rsid w:val="00C10154"/>
    <w:rsid w:val="00C3120C"/>
    <w:rsid w:val="00C31C89"/>
    <w:rsid w:val="00C56DF7"/>
    <w:rsid w:val="00C637ED"/>
    <w:rsid w:val="00C66AAE"/>
    <w:rsid w:val="00C74E3F"/>
    <w:rsid w:val="00C75973"/>
    <w:rsid w:val="00CA4349"/>
    <w:rsid w:val="00CC0BEC"/>
    <w:rsid w:val="00CC230E"/>
    <w:rsid w:val="00CC3E72"/>
    <w:rsid w:val="00CF288D"/>
    <w:rsid w:val="00D029F4"/>
    <w:rsid w:val="00D230C8"/>
    <w:rsid w:val="00D233F3"/>
    <w:rsid w:val="00D31303"/>
    <w:rsid w:val="00D33D19"/>
    <w:rsid w:val="00D41199"/>
    <w:rsid w:val="00D52DAE"/>
    <w:rsid w:val="00D543E6"/>
    <w:rsid w:val="00D635A7"/>
    <w:rsid w:val="00D66197"/>
    <w:rsid w:val="00D677F3"/>
    <w:rsid w:val="00D67961"/>
    <w:rsid w:val="00D735E2"/>
    <w:rsid w:val="00D75C8D"/>
    <w:rsid w:val="00D80A2E"/>
    <w:rsid w:val="00D81BDB"/>
    <w:rsid w:val="00D85ED2"/>
    <w:rsid w:val="00D91BA0"/>
    <w:rsid w:val="00D9258F"/>
    <w:rsid w:val="00DA7AB4"/>
    <w:rsid w:val="00DC32F0"/>
    <w:rsid w:val="00DD7EAE"/>
    <w:rsid w:val="00DE2A9A"/>
    <w:rsid w:val="00DF3AA1"/>
    <w:rsid w:val="00DF605F"/>
    <w:rsid w:val="00E11ECC"/>
    <w:rsid w:val="00E3543A"/>
    <w:rsid w:val="00E471F3"/>
    <w:rsid w:val="00E57571"/>
    <w:rsid w:val="00E57668"/>
    <w:rsid w:val="00E7438B"/>
    <w:rsid w:val="00E978F5"/>
    <w:rsid w:val="00EA0447"/>
    <w:rsid w:val="00EA375D"/>
    <w:rsid w:val="00EA4E83"/>
    <w:rsid w:val="00EB1570"/>
    <w:rsid w:val="00EB3C9A"/>
    <w:rsid w:val="00EB7562"/>
    <w:rsid w:val="00EC5677"/>
    <w:rsid w:val="00ED7D93"/>
    <w:rsid w:val="00EE3AF3"/>
    <w:rsid w:val="00EE457C"/>
    <w:rsid w:val="00EF4DE4"/>
    <w:rsid w:val="00EF630E"/>
    <w:rsid w:val="00F00F78"/>
    <w:rsid w:val="00F10F57"/>
    <w:rsid w:val="00F13148"/>
    <w:rsid w:val="00F21F60"/>
    <w:rsid w:val="00F304D4"/>
    <w:rsid w:val="00F42F8D"/>
    <w:rsid w:val="00F52EC1"/>
    <w:rsid w:val="00F55E24"/>
    <w:rsid w:val="00F6470D"/>
    <w:rsid w:val="00F660F1"/>
    <w:rsid w:val="00F733EC"/>
    <w:rsid w:val="00F74441"/>
    <w:rsid w:val="00F81655"/>
    <w:rsid w:val="00F83282"/>
    <w:rsid w:val="00F91A1F"/>
    <w:rsid w:val="00F921DB"/>
    <w:rsid w:val="00FA65BC"/>
    <w:rsid w:val="00FB12A6"/>
    <w:rsid w:val="00FC75D4"/>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 w:type="character" w:customStyle="1" w:styleId="apple-tab-span">
    <w:name w:val="apple-tab-span"/>
    <w:basedOn w:val="DefaultParagraphFont"/>
    <w:rsid w:val="00D23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3E77A-179C-41BD-9222-4D489E09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3081</Words>
  <Characters>16639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Conta da Microsoft</cp:lastModifiedBy>
  <cp:revision>5</cp:revision>
  <cp:lastPrinted>2025-10-06T11:49:18Z</cp:lastPrinted>
  <dcterms:created xsi:type="dcterms:W3CDTF">2025-10-03T16:36:00Z</dcterms:created>
  <dcterms:modified xsi:type="dcterms:W3CDTF">2025-10-06T11:49:00Z</dcterms:modified>
</cp:coreProperties>
</file>