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163F50" w:rsidP="00163F50" w14:paraId="1E87F99B" w14:textId="6A4A6306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 xml:space="preserve">PROJETO DE </w:t>
      </w:r>
      <w:r w:rsidR="0019515C">
        <w:rPr>
          <w:rStyle w:val="Strong"/>
          <w:rFonts w:asciiTheme="majorHAnsi" w:hAnsiTheme="majorHAnsi" w:cstheme="majorHAnsi"/>
        </w:rPr>
        <w:t>LE</w:t>
      </w:r>
      <w:r w:rsidR="004217D2">
        <w:rPr>
          <w:rStyle w:val="Strong"/>
          <w:rFonts w:asciiTheme="majorHAnsi" w:hAnsiTheme="majorHAnsi" w:cstheme="majorHAnsi"/>
        </w:rPr>
        <w:t>I Nº 124</w:t>
      </w:r>
      <w:r w:rsidRPr="00163F50" w:rsidR="00F74441">
        <w:rPr>
          <w:rStyle w:val="Strong"/>
          <w:rFonts w:asciiTheme="majorHAnsi" w:hAnsiTheme="majorHAnsi" w:cstheme="majorHAnsi"/>
        </w:rPr>
        <w:t xml:space="preserve"> DE 2025</w:t>
      </w:r>
      <w:r w:rsidR="0019515C">
        <w:rPr>
          <w:rStyle w:val="Strong"/>
          <w:rFonts w:asciiTheme="majorHAnsi" w:hAnsiTheme="majorHAnsi" w:cstheme="majorHAnsi"/>
        </w:rPr>
        <w:t xml:space="preserve"> – VEREADOR MANOEL EDUARDO P</w:t>
      </w:r>
      <w:r w:rsidR="004217D2">
        <w:rPr>
          <w:rStyle w:val="Strong"/>
          <w:rFonts w:asciiTheme="majorHAnsi" w:hAnsiTheme="majorHAnsi" w:cstheme="majorHAnsi"/>
        </w:rPr>
        <w:t xml:space="preserve">EREIRA DA CRUZ </w:t>
      </w:r>
      <w:r w:rsidR="00D75422">
        <w:rPr>
          <w:rStyle w:val="Strong"/>
          <w:rFonts w:asciiTheme="majorHAnsi" w:hAnsiTheme="majorHAnsi" w:cstheme="majorHAnsi"/>
        </w:rPr>
        <w:t>PALOMINO.</w:t>
      </w:r>
    </w:p>
    <w:p w:rsidR="00042E80" w:rsidRPr="00F9588D" w:rsidP="00163F50" w14:paraId="2C889281" w14:textId="59C7661B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  <w:b/>
          <w:bCs/>
        </w:rPr>
      </w:pPr>
      <w:r w:rsidRPr="00163F50">
        <w:rPr>
          <w:rFonts w:asciiTheme="majorHAnsi" w:hAnsiTheme="majorHAnsi" w:cstheme="majorHAnsi"/>
        </w:rPr>
        <w:t>“</w:t>
      </w:r>
      <w:r w:rsidR="004217D2">
        <w:rPr>
          <w:rFonts w:asciiTheme="majorHAnsi" w:hAnsiTheme="majorHAnsi" w:cstheme="majorHAnsi"/>
        </w:rPr>
        <w:t>INSTITUI A POLÍTICA MUNICIPAL DE VALORIZAÇÃO DAS FANFARRAS ESCOLARES E COMUNITÁRIAS NO MUNICÍPIO DE MOGI MIRIM E DÁ OUTRAS PROVIDÊNCIAS</w:t>
      </w:r>
      <w:r w:rsidR="0019515C">
        <w:rPr>
          <w:rFonts w:asciiTheme="majorHAnsi" w:hAnsiTheme="majorHAnsi" w:cstheme="majorHAnsi"/>
        </w:rPr>
        <w:t xml:space="preserve"> </w:t>
      </w:r>
      <w:r w:rsidR="00F655D1">
        <w:rPr>
          <w:rFonts w:asciiTheme="majorHAnsi" w:hAnsiTheme="majorHAnsi" w:cstheme="majorHAnsi"/>
        </w:rPr>
        <w:t>”</w:t>
      </w:r>
      <w:r w:rsidRPr="00F9588D" w:rsidR="00F655D1">
        <w:rPr>
          <w:b/>
          <w:bCs/>
        </w:rPr>
        <w:t>.</w:t>
      </w:r>
    </w:p>
    <w:p w:rsidR="00F74441" w:rsidRPr="00105B00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theme="majorHAnsi"/>
        </w:rPr>
      </w:pPr>
      <w:r w:rsidRPr="00163F50">
        <w:rPr>
          <w:rStyle w:val="Strong"/>
          <w:rFonts w:asciiTheme="majorHAnsi" w:hAnsiTheme="majorHAnsi" w:cstheme="majorHAnsi"/>
        </w:rPr>
        <w:t>RELATOR: VEREADOR W</w:t>
      </w:r>
      <w:r w:rsidRPr="00163F50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105B00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4217D2" w:rsidRPr="001F3B17" w:rsidP="004217D2" w14:paraId="48F440D1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1F3B17">
        <w:rPr>
          <w:rFonts w:asciiTheme="majorHAnsi" w:hAnsiTheme="majorHAnsi" w:cstheme="majorHAnsi"/>
          <w:sz w:val="24"/>
          <w:szCs w:val="24"/>
        </w:rPr>
        <w:t xml:space="preserve">O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Projeto de Lei nº 124/2025</w:t>
      </w:r>
      <w:r w:rsidRPr="001F3B17">
        <w:rPr>
          <w:rFonts w:asciiTheme="majorHAnsi" w:hAnsiTheme="majorHAnsi" w:cstheme="majorHAnsi"/>
          <w:sz w:val="24"/>
          <w:szCs w:val="24"/>
        </w:rPr>
        <w:t xml:space="preserve">, de autoria do Vereador Manoel Eduardo Pereira da Cruz Palomino, visa instituir a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Política Municipal de Valorização das Fanfarras Escolares e Comunitárias</w:t>
      </w:r>
      <w:r w:rsidRPr="001F3B17">
        <w:rPr>
          <w:rFonts w:asciiTheme="majorHAnsi" w:hAnsiTheme="majorHAnsi" w:cstheme="majorHAnsi"/>
          <w:sz w:val="24"/>
          <w:szCs w:val="24"/>
        </w:rPr>
        <w:t xml:space="preserve"> no Município de Mogi Mirim.</w:t>
      </w:r>
    </w:p>
    <w:p w:rsidR="004217D2" w:rsidRPr="001F3B17" w:rsidP="004217D2" w14:paraId="5D675B48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1F3B17">
        <w:rPr>
          <w:rFonts w:asciiTheme="majorHAnsi" w:hAnsiTheme="majorHAnsi" w:cstheme="majorHAnsi"/>
          <w:sz w:val="24"/>
          <w:szCs w:val="24"/>
        </w:rPr>
        <w:t xml:space="preserve">A proposição busca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promover, apoiar e incentivar</w:t>
      </w:r>
      <w:r w:rsidRPr="001F3B17">
        <w:rPr>
          <w:rFonts w:asciiTheme="majorHAnsi" w:hAnsiTheme="majorHAnsi" w:cstheme="majorHAnsi"/>
          <w:sz w:val="24"/>
          <w:szCs w:val="24"/>
        </w:rPr>
        <w:t xml:space="preserve"> atividades educativas, culturais e sociais desenvolvidas por meio das fanfarras (Art. 1º). Seus princípios fundamentais (Art. 2º) enfatizam a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cultura musical como instrumento de educação, integração social e cidadania</w:t>
      </w:r>
      <w:r w:rsidRPr="001F3B17">
        <w:rPr>
          <w:rFonts w:asciiTheme="majorHAnsi" w:hAnsiTheme="majorHAnsi" w:cstheme="majorHAnsi"/>
          <w:sz w:val="24"/>
          <w:szCs w:val="24"/>
        </w:rPr>
        <w:t xml:space="preserve">, o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incentivo a práticas coletivas e disciplinares</w:t>
      </w:r>
      <w:r w:rsidRPr="001F3B17">
        <w:rPr>
          <w:rFonts w:asciiTheme="majorHAnsi" w:hAnsiTheme="majorHAnsi" w:cstheme="majorHAnsi"/>
          <w:sz w:val="24"/>
          <w:szCs w:val="24"/>
        </w:rPr>
        <w:t xml:space="preserve">, e a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promoção da inclusão social</w:t>
      </w:r>
      <w:r w:rsidRPr="001F3B17">
        <w:rPr>
          <w:rFonts w:asciiTheme="majorHAnsi" w:hAnsiTheme="majorHAnsi" w:cstheme="majorHAnsi"/>
          <w:sz w:val="24"/>
          <w:szCs w:val="24"/>
        </w:rPr>
        <w:t xml:space="preserve"> e do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fortalecimento das tradições culturais locais</w:t>
      </w:r>
      <w:r w:rsidRPr="001F3B17">
        <w:rPr>
          <w:rFonts w:asciiTheme="majorHAnsi" w:hAnsiTheme="majorHAnsi" w:cstheme="majorHAnsi"/>
          <w:sz w:val="24"/>
          <w:szCs w:val="24"/>
        </w:rPr>
        <w:t>.</w:t>
      </w:r>
    </w:p>
    <w:p w:rsidR="004217D2" w:rsidRPr="001F3B17" w:rsidP="004217D2" w14:paraId="6125C354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1F3B17">
        <w:rPr>
          <w:rFonts w:asciiTheme="majorHAnsi" w:hAnsiTheme="majorHAnsi" w:cstheme="majorHAnsi"/>
          <w:sz w:val="24"/>
          <w:szCs w:val="24"/>
        </w:rPr>
        <w:t xml:space="preserve">As diretrizes (Art. 3º) focam no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 xml:space="preserve">fomento a parcerias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intersetoriais</w:t>
      </w:r>
      <w:r w:rsidRPr="001F3B17">
        <w:rPr>
          <w:rFonts w:asciiTheme="majorHAnsi" w:hAnsiTheme="majorHAnsi" w:cstheme="majorHAnsi"/>
          <w:sz w:val="24"/>
          <w:szCs w:val="24"/>
        </w:rPr>
        <w:t xml:space="preserve"> e na realização de eventos e apresentações públicas. É crucial a observação do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Pr="001F3B17">
        <w:rPr>
          <w:rFonts w:asciiTheme="majorHAnsi" w:hAnsiTheme="majorHAnsi" w:cstheme="majorHAnsi"/>
          <w:sz w:val="24"/>
          <w:szCs w:val="24"/>
        </w:rPr>
        <w:t xml:space="preserve">, que estabelece que a implementação desta Política dar-se-á mediante articulação e </w:t>
      </w:r>
      <w:r w:rsidRPr="001F3B17">
        <w:rPr>
          <w:rFonts w:asciiTheme="majorHAnsi" w:hAnsiTheme="majorHAnsi" w:cstheme="majorHAnsi"/>
          <w:b/>
          <w:bCs/>
          <w:sz w:val="24"/>
          <w:szCs w:val="24"/>
        </w:rPr>
        <w:t>sem criação de despesa obrigatória ou aumento de encargos permanentes</w:t>
      </w:r>
      <w:r w:rsidRPr="001F3B17">
        <w:rPr>
          <w:rFonts w:asciiTheme="majorHAnsi" w:hAnsiTheme="majorHAnsi" w:cstheme="majorHAnsi"/>
          <w:sz w:val="24"/>
          <w:szCs w:val="24"/>
        </w:rPr>
        <w:t xml:space="preserve"> para o Município.</w:t>
      </w:r>
    </w:p>
    <w:p w:rsidR="004217D2" w:rsidRPr="004217D2" w:rsidP="004217D2" w14:paraId="7F663BCE" w14:textId="62B58EEE">
      <w:pPr>
        <w:pStyle w:val="NormalWeb"/>
        <w:rPr>
          <w:rFonts w:asciiTheme="majorHAnsi" w:hAnsiTheme="majorHAnsi" w:cstheme="majorHAnsi"/>
        </w:rPr>
      </w:pPr>
      <w:r w:rsidRPr="001F3B17">
        <w:rPr>
          <w:rFonts w:asciiTheme="majorHAnsi" w:hAnsiTheme="majorHAnsi" w:cstheme="majorHAnsi"/>
        </w:rPr>
        <w:t xml:space="preserve">O presente parecer, emitido pela </w:t>
      </w:r>
      <w:r w:rsidRPr="001F3B17">
        <w:rPr>
          <w:rFonts w:asciiTheme="majorHAnsi" w:hAnsiTheme="majorHAnsi" w:cstheme="majorHAnsi"/>
          <w:b/>
          <w:bCs/>
        </w:rPr>
        <w:t>Comissão de Educação, Saúde, Cultura, Esporte e Assistência Social</w:t>
      </w:r>
      <w:r w:rsidRPr="001F3B17">
        <w:rPr>
          <w:rFonts w:asciiTheme="majorHAnsi" w:hAnsiTheme="majorHAnsi" w:cstheme="majorHAnsi"/>
        </w:rPr>
        <w:t xml:space="preserve">, tem como objetivo analisar a pertinência da matéria e suas implicações nas áreas de competência regimental desta Comissão. A matéria já recebeu parecer favorável da </w:t>
      </w:r>
      <w:r w:rsidRPr="001F3B17">
        <w:rPr>
          <w:rFonts w:asciiTheme="majorHAnsi" w:hAnsiTheme="majorHAnsi" w:cstheme="majorHAnsi"/>
          <w:b/>
        </w:rPr>
        <w:t>Consultoria Jurídica</w:t>
      </w:r>
      <w:r w:rsidRPr="004217D2">
        <w:rPr>
          <w:rFonts w:asciiTheme="majorHAnsi" w:hAnsiTheme="majorHAnsi" w:cstheme="majorHAnsi"/>
          <w:b/>
        </w:rPr>
        <w:t xml:space="preserve"> externa (SGP)</w:t>
      </w:r>
      <w:r w:rsidRPr="001F3B17">
        <w:rPr>
          <w:rFonts w:asciiTheme="majorHAnsi" w:hAnsiTheme="majorHAnsi" w:cstheme="majorHAnsi"/>
        </w:rPr>
        <w:t xml:space="preserve"> e da </w:t>
      </w:r>
      <w:r w:rsidRPr="001F3B17">
        <w:rPr>
          <w:rFonts w:asciiTheme="majorHAnsi" w:hAnsiTheme="majorHAnsi" w:cstheme="majorHAnsi"/>
          <w:b/>
        </w:rPr>
        <w:t>Co</w:t>
      </w:r>
      <w:r w:rsidRPr="004217D2">
        <w:rPr>
          <w:rFonts w:asciiTheme="majorHAnsi" w:hAnsiTheme="majorHAnsi" w:cstheme="majorHAnsi"/>
          <w:b/>
        </w:rPr>
        <w:t>missão de Justiça e Redação</w:t>
      </w:r>
      <w:r w:rsidRPr="001F3B17">
        <w:rPr>
          <w:rFonts w:asciiTheme="majorHAnsi" w:hAnsiTheme="majorHAnsi" w:cstheme="majorHAnsi"/>
        </w:rPr>
        <w:t>, atestando sua legalidade, constitucionalidade e competência de iniciativa parlamentar</w:t>
      </w: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DB75E8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DB75E8" w:rsidRPr="00DB75E8" w:rsidP="00DB75E8" w14:paraId="01DD54F2" w14:textId="480BE149">
      <w:pPr>
        <w:pStyle w:val="NormalWeb"/>
        <w:jc w:val="both"/>
        <w:rPr>
          <w:rFonts w:asciiTheme="majorHAnsi" w:hAnsiTheme="majorHAnsi" w:cstheme="majorHAnsi"/>
          <w:b/>
        </w:rPr>
      </w:pPr>
      <w:r w:rsidRPr="00DB75E8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0D1E93" w:rsidRPr="000D1E93" w:rsidP="000D1E93" w14:paraId="0E56A40E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sz w:val="24"/>
          <w:szCs w:val="24"/>
        </w:rPr>
        <w:t>A análise</w:t>
      </w:r>
      <w:r w:rsidRPr="000D1E93">
        <w:rPr>
          <w:rFonts w:asciiTheme="majorHAnsi" w:hAnsiTheme="majorHAnsi" w:cstheme="majorHAnsi"/>
          <w:sz w:val="24"/>
          <w:szCs w:val="24"/>
        </w:rPr>
        <w:t xml:space="preserve"> do Projeto de Lei nº 124/2025 demonstra a sua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 xml:space="preserve">elevada relevância social e aderência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intersetorial</w:t>
      </w:r>
      <w:r w:rsidRPr="000D1E93">
        <w:rPr>
          <w:rFonts w:asciiTheme="majorHAnsi" w:hAnsiTheme="majorHAnsi" w:cstheme="majorHAnsi"/>
          <w:sz w:val="24"/>
          <w:szCs w:val="24"/>
        </w:rPr>
        <w:t>, sendo plenamente compatível com as áreas de atuação desta Comissão.</w:t>
      </w:r>
    </w:p>
    <w:p w:rsidR="000D1E93" w:rsidRPr="000D1E93" w:rsidP="000D1E93" w14:paraId="0EDA4293" w14:textId="2CE05493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b/>
          <w:bCs/>
          <w:sz w:val="24"/>
          <w:szCs w:val="24"/>
        </w:rPr>
        <w:t>Educação, Cultura e Formação Cidadã</w:t>
      </w:r>
    </w:p>
    <w:p w:rsidR="000D1E93" w:rsidRPr="000D1E93" w:rsidP="000D1E93" w14:paraId="6638A896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sz w:val="24"/>
          <w:szCs w:val="24"/>
        </w:rPr>
        <w:t xml:space="preserve">O projeto é um instrumento de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política pública cultural e educacional</w:t>
      </w:r>
      <w:r w:rsidRPr="000D1E93">
        <w:rPr>
          <w:rFonts w:asciiTheme="majorHAnsi" w:hAnsiTheme="majorHAnsi" w:cstheme="majorHAnsi"/>
          <w:sz w:val="24"/>
          <w:szCs w:val="24"/>
        </w:rPr>
        <w:t>, em consonância com o Art. 205 (Educação) e Art. 215 (Cultura) da Constituição Federal.</w:t>
      </w:r>
    </w:p>
    <w:p w:rsidR="000D1E93" w:rsidRPr="000D1E93" w:rsidP="000D1E93" w14:paraId="26A8829F" w14:textId="77777777">
      <w:pPr>
        <w:numPr>
          <w:ilvl w:val="0"/>
          <w:numId w:val="27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b/>
          <w:bCs/>
          <w:sz w:val="24"/>
          <w:szCs w:val="24"/>
        </w:rPr>
        <w:t>Valorização Pedagógica:</w:t>
      </w:r>
      <w:r w:rsidRPr="000D1E93">
        <w:rPr>
          <w:rFonts w:asciiTheme="majorHAnsi" w:hAnsiTheme="majorHAnsi" w:cstheme="majorHAnsi"/>
          <w:sz w:val="24"/>
          <w:szCs w:val="24"/>
        </w:rPr>
        <w:t xml:space="preserve"> As fanfarras atuam como espaços de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educação não-formal</w:t>
      </w:r>
      <w:r w:rsidRPr="000D1E93">
        <w:rPr>
          <w:rFonts w:asciiTheme="majorHAnsi" w:hAnsiTheme="majorHAnsi" w:cstheme="majorHAnsi"/>
          <w:sz w:val="24"/>
          <w:szCs w:val="24"/>
        </w:rPr>
        <w:t xml:space="preserve">, essenciais para estimular a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disciplina</w:t>
      </w:r>
      <w:r w:rsidRPr="000D1E93">
        <w:rPr>
          <w:rFonts w:asciiTheme="majorHAnsi" w:hAnsiTheme="majorHAnsi" w:cstheme="majorHAnsi"/>
          <w:sz w:val="24"/>
          <w:szCs w:val="24"/>
        </w:rPr>
        <w:t xml:space="preserve">, o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cooperativismo</w:t>
      </w:r>
      <w:r w:rsidRPr="000D1E93">
        <w:rPr>
          <w:rFonts w:asciiTheme="majorHAnsi" w:hAnsiTheme="majorHAnsi" w:cstheme="majorHAnsi"/>
          <w:sz w:val="24"/>
          <w:szCs w:val="24"/>
        </w:rPr>
        <w:t xml:space="preserve"> e o desenvolvimento de habilidades, complementando o currículo escolar. O foco nas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práticas coletivas</w:t>
      </w:r>
      <w:r w:rsidRPr="000D1E93">
        <w:rPr>
          <w:rFonts w:asciiTheme="majorHAnsi" w:hAnsiTheme="majorHAnsi" w:cstheme="majorHAnsi"/>
          <w:sz w:val="24"/>
          <w:szCs w:val="24"/>
        </w:rPr>
        <w:t xml:space="preserve"> (Art. 2º, II) fortalece a formação integral e cívica dos participantes.</w:t>
      </w:r>
    </w:p>
    <w:p w:rsidR="000D1E93" w:rsidRPr="000D1E93" w:rsidP="000D1E93" w14:paraId="29A7D878" w14:textId="77777777">
      <w:pPr>
        <w:numPr>
          <w:ilvl w:val="0"/>
          <w:numId w:val="27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b/>
          <w:bCs/>
          <w:sz w:val="24"/>
          <w:szCs w:val="24"/>
        </w:rPr>
        <w:t>Patrimônio Imaterial:</w:t>
      </w:r>
      <w:r w:rsidRPr="000D1E93">
        <w:rPr>
          <w:rFonts w:asciiTheme="majorHAnsi" w:hAnsiTheme="majorHAnsi" w:cstheme="majorHAnsi"/>
          <w:sz w:val="24"/>
          <w:szCs w:val="24"/>
        </w:rPr>
        <w:t xml:space="preserve"> A Lei garante a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preservação e o fortalecimento das tradições culturais locais</w:t>
      </w:r>
      <w:r w:rsidRPr="000D1E93">
        <w:rPr>
          <w:rFonts w:asciiTheme="majorHAnsi" w:hAnsiTheme="majorHAnsi" w:cstheme="majorHAnsi"/>
          <w:sz w:val="24"/>
          <w:szCs w:val="24"/>
        </w:rPr>
        <w:t xml:space="preserve"> (Art. 2º, IV), reconhecendo o papel das fanfarras na manutenção da memória e da identidade cultural de Mogi Mirim.</w:t>
      </w:r>
    </w:p>
    <w:p w:rsidR="000D1E93" w:rsidRPr="000D1E93" w:rsidP="000D1E93" w14:paraId="27282ABE" w14:textId="6C93DD9C">
      <w:pPr>
        <w:spacing w:before="100" w:beforeAutospacing="1" w:after="100" w:afterAutospacing="1"/>
        <w:outlineLvl w:val="3"/>
        <w:rPr>
          <w:rFonts w:asciiTheme="majorHAnsi" w:hAnsiTheme="majorHAnsi" w:cstheme="majorHAnsi"/>
          <w:b/>
          <w:bCs/>
          <w:sz w:val="24"/>
          <w:szCs w:val="24"/>
        </w:rPr>
      </w:pPr>
      <w:r w:rsidRPr="000D1E93">
        <w:rPr>
          <w:rFonts w:asciiTheme="majorHAnsi" w:hAnsiTheme="majorHAnsi" w:cstheme="majorHAnsi"/>
          <w:b/>
          <w:bCs/>
          <w:sz w:val="24"/>
          <w:szCs w:val="24"/>
        </w:rPr>
        <w:t>Inclusão Social, Saúde e Prevenção</w:t>
      </w:r>
    </w:p>
    <w:p w:rsidR="000D1E93" w:rsidRPr="000D1E93" w:rsidP="000D1E93" w14:paraId="4AFC88E0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sz w:val="24"/>
          <w:szCs w:val="24"/>
        </w:rPr>
        <w:t xml:space="preserve">A matéria possui forte apelo social, sendo um vetor de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inclusão e prevenção</w:t>
      </w:r>
      <w:r w:rsidRPr="000D1E93">
        <w:rPr>
          <w:rFonts w:asciiTheme="majorHAnsi" w:hAnsiTheme="majorHAnsi" w:cstheme="majorHAnsi"/>
          <w:sz w:val="24"/>
          <w:szCs w:val="24"/>
        </w:rPr>
        <w:t xml:space="preserve"> de vulnerabilidades, conectado diretamente aos temas de Saúde, Esporte e Assistência Social.</w:t>
      </w:r>
    </w:p>
    <w:p w:rsidR="000D1E93" w:rsidRPr="000D1E93" w:rsidP="000D1E93" w14:paraId="551BC8A6" w14:textId="77777777">
      <w:pPr>
        <w:numPr>
          <w:ilvl w:val="0"/>
          <w:numId w:val="28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b/>
          <w:bCs/>
          <w:sz w:val="24"/>
          <w:szCs w:val="24"/>
        </w:rPr>
        <w:t>Assistência Social e Inclusão:</w:t>
      </w:r>
      <w:r w:rsidRPr="000D1E93">
        <w:rPr>
          <w:rFonts w:asciiTheme="majorHAnsi" w:hAnsiTheme="majorHAnsi" w:cstheme="majorHAnsi"/>
          <w:sz w:val="24"/>
          <w:szCs w:val="24"/>
        </w:rPr>
        <w:t xml:space="preserve"> A ênfase na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promoção da inclusão social</w:t>
      </w:r>
      <w:r w:rsidRPr="000D1E93">
        <w:rPr>
          <w:rFonts w:asciiTheme="majorHAnsi" w:hAnsiTheme="majorHAnsi" w:cstheme="majorHAnsi"/>
          <w:sz w:val="24"/>
          <w:szCs w:val="24"/>
        </w:rPr>
        <w:t xml:space="preserve"> e no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estímulo à participação de jovens e membros da comunidade</w:t>
      </w:r>
      <w:r w:rsidRPr="000D1E93">
        <w:rPr>
          <w:rFonts w:asciiTheme="majorHAnsi" w:hAnsiTheme="majorHAnsi" w:cstheme="majorHAnsi"/>
          <w:sz w:val="24"/>
          <w:szCs w:val="24"/>
        </w:rPr>
        <w:t xml:space="preserve"> (Art. 2º, III e V) cria um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ambiente seguro e estruturado</w:t>
      </w:r>
      <w:r w:rsidRPr="000D1E93">
        <w:rPr>
          <w:rFonts w:asciiTheme="majorHAnsi" w:hAnsiTheme="majorHAnsi" w:cstheme="majorHAnsi"/>
          <w:sz w:val="24"/>
          <w:szCs w:val="24"/>
        </w:rPr>
        <w:t xml:space="preserve">, funcionando como ferramenta de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prevenção primária</w:t>
      </w:r>
      <w:r w:rsidRPr="000D1E93">
        <w:rPr>
          <w:rFonts w:asciiTheme="majorHAnsi" w:hAnsiTheme="majorHAnsi" w:cstheme="majorHAnsi"/>
          <w:sz w:val="24"/>
          <w:szCs w:val="24"/>
        </w:rPr>
        <w:t xml:space="preserve"> contra a vulnerabilidade social e promovendo o senso de pertencimento.</w:t>
      </w:r>
    </w:p>
    <w:p w:rsidR="000D1E93" w:rsidRPr="000D1E93" w:rsidP="000D1E93" w14:paraId="25ED68E4" w14:textId="77777777">
      <w:pPr>
        <w:numPr>
          <w:ilvl w:val="0"/>
          <w:numId w:val="28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b/>
          <w:bCs/>
          <w:sz w:val="24"/>
          <w:szCs w:val="24"/>
        </w:rPr>
        <w:t>Saúde, Esporte e Lazer:</w:t>
      </w:r>
      <w:r w:rsidRPr="000D1E93">
        <w:rPr>
          <w:rFonts w:asciiTheme="majorHAnsi" w:hAnsiTheme="majorHAnsi" w:cstheme="majorHAnsi"/>
          <w:sz w:val="24"/>
          <w:szCs w:val="24"/>
        </w:rPr>
        <w:t xml:space="preserve"> A atividade contínua nas fanfarras, que exige coordenação e movimento rítmico, enquadra-se como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prática de lazer e atividade física organizada</w:t>
      </w:r>
      <w:r w:rsidRPr="000D1E93">
        <w:rPr>
          <w:rFonts w:asciiTheme="majorHAnsi" w:hAnsiTheme="majorHAnsi" w:cstheme="majorHAnsi"/>
          <w:sz w:val="24"/>
          <w:szCs w:val="24"/>
        </w:rPr>
        <w:t xml:space="preserve">. Contribui para a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promoção da saúde mental e física</w:t>
      </w:r>
      <w:r w:rsidRPr="000D1E93">
        <w:rPr>
          <w:rFonts w:asciiTheme="majorHAnsi" w:hAnsiTheme="majorHAnsi" w:cstheme="majorHAnsi"/>
          <w:sz w:val="24"/>
          <w:szCs w:val="24"/>
        </w:rPr>
        <w:t xml:space="preserve"> dos participantes, alinhando-se à competência regimental sobre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Esporte e Lazer</w:t>
      </w:r>
      <w:r w:rsidRPr="000D1E93">
        <w:rPr>
          <w:rFonts w:asciiTheme="majorHAnsi" w:hAnsiTheme="majorHAnsi" w:cstheme="majorHAnsi"/>
          <w:sz w:val="24"/>
          <w:szCs w:val="24"/>
        </w:rPr>
        <w:t xml:space="preserve"> (CF/88, Art. 217).</w:t>
      </w:r>
    </w:p>
    <w:p w:rsidR="000D1E93" w:rsidRPr="000D1E93" w:rsidP="000D1E93" w14:paraId="1FDDAB7A" w14:textId="31C48B9E">
      <w:pPr>
        <w:spacing w:before="100" w:beforeAutospacing="1" w:after="100" w:afterAutospacing="1"/>
        <w:outlineLvl w:val="3"/>
        <w:rPr>
          <w:rFonts w:asciiTheme="majorHAnsi" w:hAnsiTheme="majorHAnsi" w:cstheme="majorHAnsi"/>
          <w:b/>
          <w:bCs/>
          <w:sz w:val="24"/>
          <w:szCs w:val="24"/>
        </w:rPr>
      </w:pPr>
      <w:r w:rsidRPr="000D1E93">
        <w:rPr>
          <w:rFonts w:asciiTheme="majorHAnsi" w:hAnsiTheme="majorHAnsi" w:cstheme="majorHAnsi"/>
          <w:b/>
          <w:bCs/>
          <w:sz w:val="24"/>
          <w:szCs w:val="24"/>
        </w:rPr>
        <w:t>Viabilidade e Responsabilidade orçamentária</w:t>
      </w:r>
    </w:p>
    <w:p w:rsidR="000D1E93" w:rsidP="000D1E93" w14:paraId="16082716" w14:textId="77777777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0D1E93">
        <w:rPr>
          <w:rFonts w:asciiTheme="majorHAnsi" w:hAnsiTheme="majorHAnsi" w:cstheme="majorHAnsi"/>
          <w:sz w:val="24"/>
          <w:szCs w:val="24"/>
        </w:rPr>
        <w:t xml:space="preserve">A proposta é tecnicamente viável e responsável, especialmente devido à previsão do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Pr="000D1E93">
        <w:rPr>
          <w:rFonts w:asciiTheme="majorHAnsi" w:hAnsiTheme="majorHAnsi" w:cstheme="majorHAnsi"/>
          <w:sz w:val="24"/>
          <w:szCs w:val="24"/>
        </w:rPr>
        <w:t xml:space="preserve">, que define o caráter da política como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programático e de articulação</w:t>
      </w:r>
      <w:r w:rsidRPr="000D1E93">
        <w:rPr>
          <w:rFonts w:asciiTheme="majorHAnsi" w:hAnsiTheme="majorHAnsi" w:cstheme="majorHAnsi"/>
          <w:sz w:val="24"/>
          <w:szCs w:val="24"/>
        </w:rPr>
        <w:t xml:space="preserve">, sem criar despesa obrigatória. Isso garante o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equilíbrio</w:t>
      </w:r>
      <w:r w:rsidRPr="000D1E93">
        <w:rPr>
          <w:rFonts w:asciiTheme="majorHAnsi" w:hAnsiTheme="majorHAnsi" w:cstheme="majorHAnsi"/>
          <w:sz w:val="24"/>
          <w:szCs w:val="24"/>
        </w:rPr>
        <w:t xml:space="preserve"> entre o incentivo cultural e a </w:t>
      </w:r>
      <w:r w:rsidRPr="000D1E93">
        <w:rPr>
          <w:rFonts w:asciiTheme="majorHAnsi" w:hAnsiTheme="majorHAnsi" w:cstheme="majorHAnsi"/>
          <w:b/>
          <w:bCs/>
          <w:sz w:val="24"/>
          <w:szCs w:val="24"/>
        </w:rPr>
        <w:t>responsabilidade orçamentária</w:t>
      </w:r>
      <w:r w:rsidRPr="000D1E93">
        <w:rPr>
          <w:rFonts w:asciiTheme="majorHAnsi" w:hAnsiTheme="majorHAnsi" w:cstheme="majorHAnsi"/>
          <w:sz w:val="24"/>
          <w:szCs w:val="24"/>
        </w:rPr>
        <w:t>, permitindo a implementação por meio de parcerias e otimização dos recursos já existentes.</w:t>
      </w:r>
    </w:p>
    <w:p w:rsidR="000D1E93" w:rsidRPr="000D1E93" w:rsidP="000D1E93" w14:paraId="5C2D0CE8" w14:textId="163BACAF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Diante da relevância do projeto de lei, a proposta se mostra oportuna e conveniente, pelo seu desenvolvimento cultural, educacional e social para o Município de Mogi Mirim.</w:t>
      </w:r>
    </w:p>
    <w:p w:rsidR="00B13198" w:rsidP="00163F50" w14:paraId="69A83724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F655D1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F655D1">
        <w:rPr>
          <w:rFonts w:asciiTheme="majorHAnsi" w:hAnsiTheme="majorHAnsi" w:cstheme="majorHAnsi"/>
          <w:b/>
        </w:rPr>
        <w:t>III -</w:t>
      </w:r>
      <w:r w:rsidRPr="00F655D1">
        <w:rPr>
          <w:rFonts w:asciiTheme="majorHAnsi" w:hAnsiTheme="majorHAnsi" w:cstheme="majorHAnsi"/>
        </w:rPr>
        <w:t xml:space="preserve"> </w:t>
      </w:r>
      <w:r w:rsidRPr="00F655D1">
        <w:rPr>
          <w:rFonts w:asciiTheme="majorHAnsi" w:hAnsiTheme="majorHAnsi" w:cstheme="majorHAnsi"/>
          <w:b/>
          <w:bCs/>
        </w:rPr>
        <w:t>OFERECIMENTO DE SUBSTITUTIVO, EMENDAS OU SUBEMENDAS</w:t>
      </w:r>
      <w:r w:rsidRPr="00F655D1">
        <w:rPr>
          <w:rFonts w:asciiTheme="majorHAnsi" w:hAnsiTheme="majorHAnsi" w:cstheme="majorHAnsi"/>
        </w:rPr>
        <w:t xml:space="preserve"> </w:t>
      </w:r>
    </w:p>
    <w:p w:rsidR="00D75422" w:rsidP="00D75422" w14:paraId="5390BBD6" w14:textId="04A9C03D">
      <w:pPr>
        <w:pStyle w:val="NormalWeb"/>
        <w:jc w:val="both"/>
        <w:rPr>
          <w:rFonts w:asciiTheme="majorHAnsi" w:hAnsiTheme="majorHAnsi" w:cstheme="majorHAnsi"/>
        </w:rPr>
      </w:pPr>
      <w:r w:rsidRPr="00B61EE5">
        <w:rPr>
          <w:rFonts w:asciiTheme="majorHAnsi" w:hAnsiTheme="majorHAnsi" w:cstheme="majorHAnsi"/>
        </w:rPr>
        <w:t>Após análise</w:t>
      </w:r>
      <w:r w:rsidRPr="00B61EE5" w:rsidR="00063E7D">
        <w:rPr>
          <w:rFonts w:asciiTheme="majorHAnsi" w:hAnsiTheme="majorHAnsi" w:cstheme="majorHAnsi"/>
        </w:rPr>
        <w:t xml:space="preserve"> detalhada do </w:t>
      </w:r>
      <w:r w:rsidRPr="00B61EE5" w:rsidR="00063E7D">
        <w:rPr>
          <w:rFonts w:asciiTheme="majorHAnsi" w:hAnsiTheme="majorHAnsi" w:cstheme="majorHAnsi"/>
          <w:b/>
        </w:rPr>
        <w:t>P</w:t>
      </w:r>
      <w:r w:rsidRPr="00B61EE5" w:rsidR="00DB75E8">
        <w:rPr>
          <w:rFonts w:asciiTheme="majorHAnsi" w:hAnsiTheme="majorHAnsi" w:cstheme="majorHAnsi"/>
          <w:b/>
        </w:rPr>
        <w:t>rojeto</w:t>
      </w:r>
      <w:r w:rsidRPr="00B61EE5" w:rsidR="00B61EE5">
        <w:rPr>
          <w:rFonts w:asciiTheme="majorHAnsi" w:hAnsiTheme="majorHAnsi" w:cstheme="majorHAnsi"/>
          <w:b/>
        </w:rPr>
        <w:t xml:space="preserve"> de</w:t>
      </w:r>
      <w:r w:rsidRPr="00B61EE5" w:rsidR="00063E7D">
        <w:rPr>
          <w:rFonts w:asciiTheme="majorHAnsi" w:hAnsiTheme="majorHAnsi" w:cstheme="majorHAnsi"/>
          <w:b/>
        </w:rPr>
        <w:t xml:space="preserve"> Le</w:t>
      </w:r>
      <w:r w:rsidR="000D1E93">
        <w:rPr>
          <w:rFonts w:asciiTheme="majorHAnsi" w:hAnsiTheme="majorHAnsi" w:cstheme="majorHAnsi"/>
          <w:b/>
        </w:rPr>
        <w:t>i nº 124</w:t>
      </w:r>
      <w:r w:rsidRPr="00B61EE5" w:rsidR="00063E7D">
        <w:rPr>
          <w:rFonts w:asciiTheme="majorHAnsi" w:hAnsiTheme="majorHAnsi" w:cstheme="majorHAnsi"/>
          <w:b/>
        </w:rPr>
        <w:t>/2025</w:t>
      </w:r>
      <w:r w:rsidRPr="00B61EE5" w:rsidR="00DB75E8">
        <w:rPr>
          <w:rFonts w:asciiTheme="majorHAnsi" w:hAnsiTheme="majorHAnsi" w:cstheme="majorHAnsi"/>
        </w:rPr>
        <w:t xml:space="preserve"> apresentado</w:t>
      </w:r>
      <w:r w:rsidRPr="00B61EE5">
        <w:rPr>
          <w:rFonts w:asciiTheme="majorHAnsi" w:hAnsiTheme="majorHAnsi" w:cstheme="majorHAnsi"/>
        </w:rPr>
        <w:t xml:space="preserve">, </w:t>
      </w:r>
      <w:r w:rsidRPr="00B61EE5">
        <w:rPr>
          <w:rFonts w:asciiTheme="majorHAnsi" w:hAnsiTheme="majorHAnsi" w:cstheme="majorHAnsi"/>
        </w:rPr>
        <w:t>esta</w:t>
      </w:r>
      <w:r w:rsidRPr="00B61EE5">
        <w:rPr>
          <w:rFonts w:asciiTheme="majorHAnsi" w:hAnsiTheme="majorHAnsi" w:cstheme="majorHAnsi"/>
        </w:rPr>
        <w:t xml:space="preserve"> </w:t>
      </w:r>
      <w:r w:rsidRPr="00B61EE5" w:rsidR="00063E7D">
        <w:rPr>
          <w:rFonts w:asciiTheme="majorHAnsi" w:hAnsiTheme="majorHAnsi" w:cstheme="majorHAnsi"/>
        </w:rPr>
        <w:t>Relatoria conclui que o projeto</w:t>
      </w:r>
      <w:r w:rsidRPr="00B61EE5">
        <w:rPr>
          <w:rFonts w:asciiTheme="majorHAnsi" w:hAnsiTheme="majorHAnsi" w:cstheme="majorHAnsi"/>
        </w:rPr>
        <w:t xml:space="preserve"> não exige a apresentação de </w:t>
      </w:r>
      <w:r w:rsidRPr="00B61EE5">
        <w:rPr>
          <w:rFonts w:asciiTheme="majorHAnsi" w:hAnsiTheme="majorHAnsi" w:cstheme="majorHAnsi"/>
          <w:b/>
        </w:rPr>
        <w:t>subst</w:t>
      </w:r>
      <w:r w:rsidRPr="00B61EE5" w:rsidR="00DB75E8">
        <w:rPr>
          <w:rFonts w:asciiTheme="majorHAnsi" w:hAnsiTheme="majorHAnsi" w:cstheme="majorHAnsi"/>
          <w:b/>
        </w:rPr>
        <w:t xml:space="preserve">itutivos, emendas ou </w:t>
      </w:r>
      <w:r w:rsidRPr="00B61EE5">
        <w:rPr>
          <w:rFonts w:asciiTheme="majorHAnsi" w:hAnsiTheme="majorHAnsi" w:cstheme="majorHAnsi"/>
          <w:b/>
        </w:rPr>
        <w:t>subemendas</w:t>
      </w:r>
      <w:r>
        <w:rPr>
          <w:rFonts w:asciiTheme="majorHAnsi" w:hAnsiTheme="majorHAnsi" w:cstheme="majorHAnsi"/>
        </w:rPr>
        <w:t>,</w:t>
      </w:r>
      <w:r w:rsidRPr="00DB75E8">
        <w:rPr>
          <w:rFonts w:asciiTheme="majorHAnsi" w:hAnsiTheme="majorHAnsi" w:cstheme="majorHAnsi"/>
        </w:rPr>
        <w:t xml:space="preserve"> pois</w:t>
      </w:r>
      <w:r w:rsidRPr="00DB75E8">
        <w:rPr>
          <w:rFonts w:asciiTheme="majorHAnsi" w:hAnsiTheme="majorHAnsi" w:cstheme="majorHAnsi"/>
        </w:rPr>
        <w:t xml:space="preserve"> considera o texto claro, conciso e alinhado aos objetivos propostos</w:t>
      </w:r>
    </w:p>
    <w:p w:rsidR="00C829EC" w:rsidRPr="00F655D1" w:rsidP="00163F50" w14:paraId="2BE770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829EC" w:rsidRPr="00F655D1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F655D1">
        <w:rPr>
          <w:rFonts w:asciiTheme="majorHAnsi" w:hAnsiTheme="majorHAnsi" w:cstheme="majorHAnsi"/>
          <w:b/>
          <w:bCs/>
        </w:rPr>
        <w:t>IV -  DECISÃO D</w:t>
      </w:r>
      <w:r w:rsidRPr="00F655D1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F655D1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F655D1" w:rsidP="00163F50" w14:paraId="5FABA39D" w14:textId="6103296C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F655D1">
        <w:rPr>
          <w:rFonts w:asciiTheme="majorHAnsi" w:hAnsiTheme="majorHAnsi" w:cstheme="majorHAnsi"/>
        </w:rPr>
        <w:t xml:space="preserve">A Comissão de Saúde, Educação, Cultura, Esporte e Assistência Social aprova, por unanimidade, </w:t>
      </w:r>
      <w:r w:rsidR="00B61EE5">
        <w:rPr>
          <w:rFonts w:asciiTheme="majorHAnsi" w:hAnsiTheme="majorHAnsi" w:cstheme="majorHAnsi"/>
        </w:rPr>
        <w:t>o</w:t>
      </w:r>
      <w:r w:rsidR="000D1E93">
        <w:rPr>
          <w:rFonts w:asciiTheme="majorHAnsi" w:hAnsiTheme="majorHAnsi" w:cstheme="majorHAnsi"/>
        </w:rPr>
        <w:t xml:space="preserve"> Projeto de Decreto de Lei nº 124</w:t>
      </w:r>
      <w:r w:rsidRPr="00F655D1">
        <w:rPr>
          <w:rFonts w:asciiTheme="majorHAnsi" w:hAnsiTheme="majorHAnsi" w:cstheme="majorHAnsi"/>
        </w:rPr>
        <w:t xml:space="preserve">/2025, sem emendas, considerando-o </w:t>
      </w:r>
      <w:r w:rsidRPr="00F655D1">
        <w:rPr>
          <w:rFonts w:asciiTheme="majorHAnsi" w:hAnsiTheme="majorHAnsi" w:cstheme="majorHAnsi"/>
          <w:b/>
          <w:bCs/>
        </w:rPr>
        <w:t>pertinente e de alta relevância social</w:t>
      </w:r>
      <w:r w:rsidRPr="00F655D1">
        <w:rPr>
          <w:rFonts w:asciiTheme="majorHAnsi" w:hAnsiTheme="majorHAnsi" w:cstheme="majorHAnsi"/>
        </w:rPr>
        <w:t xml:space="preserve"> para o município.</w:t>
      </w:r>
    </w:p>
    <w:p w:rsidR="00C829EC" w:rsidRPr="00F655D1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105B00" w:rsidRPr="00F655D1" w:rsidP="00105B00" w14:paraId="636E05C0" w14:textId="32D1255C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F655D1">
        <w:rPr>
          <w:rStyle w:val="Strong"/>
          <w:rFonts w:asciiTheme="majorHAnsi" w:hAnsiTheme="majorHAnsi" w:cstheme="majorHAnsi"/>
        </w:rPr>
        <w:t>SALA DAS SESSÕES</w:t>
      </w:r>
      <w:r w:rsidR="00B61EE5">
        <w:rPr>
          <w:rStyle w:val="Strong"/>
          <w:rFonts w:asciiTheme="majorHAnsi" w:hAnsiTheme="majorHAnsi" w:cstheme="majorHAnsi"/>
        </w:rPr>
        <w:t xml:space="preserve"> “VEREADOR SANTO RÓTTOLI”, em 01 de outubro</w:t>
      </w:r>
      <w:r w:rsidRPr="00F655D1">
        <w:rPr>
          <w:rStyle w:val="Strong"/>
          <w:rFonts w:asciiTheme="majorHAnsi" w:hAnsiTheme="majorHAnsi" w:cstheme="majorHAnsi"/>
        </w:rPr>
        <w:t xml:space="preserve"> de 2025.</w:t>
      </w:r>
    </w:p>
    <w:p w:rsidR="005B6271" w:rsidRPr="00F655D1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F655D1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RPr="00F655D1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F655D1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5B6271" w:rsidRPr="00F655D1" w:rsidP="005B6271" w14:paraId="1BFA3B26" w14:textId="77777777">
      <w:pPr>
        <w:pStyle w:val="BodyText"/>
        <w:spacing w:line="240" w:lineRule="auto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05B00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F655D1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D75422" w:rsidRPr="00D75422" w:rsidP="00D75422" w14:paraId="279782DE" w14:textId="06E2E2AB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b/>
          <w:bCs/>
          <w:sz w:val="24"/>
          <w:szCs w:val="24"/>
        </w:rPr>
        <w:t>BRASIL. Constituição (1988).</w:t>
      </w:r>
      <w:r w:rsidRPr="00D75422">
        <w:rPr>
          <w:rFonts w:asciiTheme="majorHAnsi" w:hAnsiTheme="majorHAnsi" w:cstheme="majorHAnsi"/>
          <w:sz w:val="24"/>
          <w:szCs w:val="24"/>
        </w:rPr>
        <w:t xml:space="preserve"> Constituição da República Federativa do Brasil de 1988. Brasília, DF: Senado, 1988. (</w:t>
      </w:r>
      <w:r w:rsidRPr="00D75422">
        <w:rPr>
          <w:rFonts w:asciiTheme="majorHAnsi" w:hAnsiTheme="majorHAnsi" w:cstheme="majorHAnsi"/>
          <w:sz w:val="24"/>
          <w:szCs w:val="24"/>
        </w:rPr>
        <w:t>Art.</w:t>
      </w:r>
      <w:r w:rsidRPr="00D75422">
        <w:rPr>
          <w:rFonts w:asciiTheme="majorHAnsi" w:hAnsiTheme="majorHAnsi" w:cstheme="majorHAnsi"/>
          <w:sz w:val="24"/>
          <w:szCs w:val="24"/>
        </w:rPr>
        <w:t xml:space="preserve"> 205, 215, 217 e 30, I).</w:t>
      </w:r>
    </w:p>
    <w:p w:rsidR="00D75422" w:rsidRPr="00D75422" w:rsidP="00D75422" w14:paraId="7A844022" w14:textId="77777777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b/>
          <w:bCs/>
          <w:sz w:val="24"/>
          <w:szCs w:val="24"/>
        </w:rPr>
        <w:t>MOGI MIRIM. Projeto de Lei nº 124, de 2025.</w:t>
      </w:r>
      <w:r w:rsidRPr="00D75422">
        <w:rPr>
          <w:rFonts w:asciiTheme="majorHAnsi" w:hAnsiTheme="majorHAnsi" w:cstheme="majorHAnsi"/>
          <w:sz w:val="24"/>
          <w:szCs w:val="24"/>
        </w:rPr>
        <w:t xml:space="preserve"> Institui a Política Municipal de Valorização das Fanfarras Escolares e Comunitárias. Câmara Municipal de Mogi Mirim, 2025.</w:t>
      </w:r>
    </w:p>
    <w:p w:rsidR="00D75422" w:rsidRPr="00D75422" w:rsidP="00D75422" w14:paraId="3E9D4F1D" w14:textId="77777777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b/>
          <w:bCs/>
          <w:sz w:val="24"/>
          <w:szCs w:val="24"/>
        </w:rPr>
        <w:t>Lei nº 9.394, de 20 de dezembro de 1996 (LDB).</w:t>
      </w:r>
      <w:r w:rsidRPr="00D75422">
        <w:rPr>
          <w:rFonts w:asciiTheme="majorHAnsi" w:hAnsiTheme="majorHAnsi" w:cstheme="majorHAnsi"/>
          <w:sz w:val="24"/>
          <w:szCs w:val="24"/>
        </w:rPr>
        <w:t xml:space="preserve"> Estabelece as diretrizes e bases da educação nacional.</w:t>
      </w:r>
    </w:p>
    <w:p w:rsidR="00D75422" w:rsidRPr="00D75422" w:rsidP="00D75422" w14:paraId="33F0E1A1" w14:textId="77777777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b/>
          <w:bCs/>
          <w:sz w:val="24"/>
          <w:szCs w:val="24"/>
        </w:rPr>
        <w:t>Lei nº 8.742, de 7 de dezembro de 1993 (LOAS).</w:t>
      </w:r>
      <w:r w:rsidRPr="00D75422">
        <w:rPr>
          <w:rFonts w:asciiTheme="majorHAnsi" w:hAnsiTheme="majorHAnsi" w:cstheme="majorHAnsi"/>
          <w:sz w:val="24"/>
          <w:szCs w:val="24"/>
        </w:rPr>
        <w:t xml:space="preserve"> Dispõe sobre a organização da Assistência Social.</w:t>
      </w:r>
    </w:p>
    <w:p w:rsidR="00D75422" w:rsidRPr="00D75422" w:rsidP="00D75422" w14:paraId="3B0CAC04" w14:textId="77777777">
      <w:pPr>
        <w:numPr>
          <w:ilvl w:val="0"/>
          <w:numId w:val="22"/>
        </w:num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b/>
          <w:bCs/>
          <w:sz w:val="24"/>
          <w:szCs w:val="24"/>
        </w:rPr>
        <w:t>Parecer SGP/Consulta/0542/2025/JG/G/DDR.</w:t>
      </w:r>
      <w:r w:rsidRPr="00D75422">
        <w:rPr>
          <w:rFonts w:asciiTheme="majorHAnsi" w:hAnsiTheme="majorHAnsi" w:cstheme="majorHAnsi"/>
          <w:sz w:val="24"/>
          <w:szCs w:val="24"/>
        </w:rPr>
        <w:t xml:space="preserve"> Consultoria Jurídica Externa. (Referência à constitucionalidade e interesse local).</w:t>
      </w:r>
    </w:p>
    <w:p w:rsidR="00C8120E" w:rsidRPr="00D75422" w:rsidP="00C8120E" w14:paraId="7FE87A8D" w14:textId="77777777">
      <w:pPr>
        <w:rPr>
          <w:rFonts w:asciiTheme="majorHAnsi" w:hAnsiTheme="majorHAnsi" w:cstheme="majorHAnsi"/>
          <w:sz w:val="22"/>
          <w:szCs w:val="22"/>
        </w:rPr>
      </w:pPr>
    </w:p>
    <w:p w:rsidR="00D75422" w:rsidP="00C8120E" w14:paraId="702FD6B7" w14:textId="77777777">
      <w:pPr>
        <w:rPr>
          <w:rFonts w:asciiTheme="majorHAnsi" w:hAnsiTheme="majorHAnsi" w:cstheme="majorHAnsi"/>
          <w:sz w:val="22"/>
          <w:szCs w:val="22"/>
        </w:rPr>
      </w:pPr>
    </w:p>
    <w:p w:rsidR="00D75422" w:rsidP="00C8120E" w14:paraId="764D0C55" w14:textId="77777777">
      <w:pPr>
        <w:rPr>
          <w:rFonts w:asciiTheme="majorHAnsi" w:hAnsiTheme="majorHAnsi" w:cstheme="majorHAnsi"/>
          <w:sz w:val="22"/>
          <w:szCs w:val="22"/>
        </w:rPr>
      </w:pPr>
    </w:p>
    <w:p w:rsidR="00D75422" w:rsidP="00C8120E" w14:paraId="04DF21C7" w14:textId="77777777">
      <w:pPr>
        <w:rPr>
          <w:rFonts w:asciiTheme="majorHAnsi" w:hAnsiTheme="majorHAnsi" w:cstheme="majorHAnsi"/>
          <w:sz w:val="22"/>
          <w:szCs w:val="22"/>
        </w:rPr>
      </w:pPr>
    </w:p>
    <w:p w:rsidR="000D1E93" w:rsidP="00C8120E" w14:paraId="5158F7D0" w14:textId="77777777">
      <w:pPr>
        <w:rPr>
          <w:rFonts w:asciiTheme="majorHAnsi" w:hAnsiTheme="majorHAnsi" w:cstheme="majorHAnsi"/>
          <w:sz w:val="22"/>
          <w:szCs w:val="22"/>
        </w:rPr>
      </w:pPr>
    </w:p>
    <w:p w:rsidR="000D1E93" w:rsidP="00C8120E" w14:paraId="5D27CFC3" w14:textId="77777777">
      <w:pPr>
        <w:rPr>
          <w:rFonts w:asciiTheme="majorHAnsi" w:hAnsiTheme="majorHAnsi" w:cstheme="majorHAnsi"/>
          <w:sz w:val="22"/>
          <w:szCs w:val="22"/>
        </w:rPr>
      </w:pPr>
    </w:p>
    <w:p w:rsidR="000D1E93" w:rsidP="00C8120E" w14:paraId="5B5A4694" w14:textId="77777777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:rsidR="00D75422" w:rsidP="00C8120E" w14:paraId="7F408C9E" w14:textId="77777777">
      <w:pPr>
        <w:rPr>
          <w:rFonts w:asciiTheme="majorHAnsi" w:hAnsiTheme="majorHAnsi" w:cstheme="majorHAnsi"/>
          <w:sz w:val="22"/>
          <w:szCs w:val="22"/>
        </w:rPr>
      </w:pPr>
    </w:p>
    <w:p w:rsidR="00D75422" w:rsidP="00C8120E" w14:paraId="6A5F8CE5" w14:textId="77777777">
      <w:pPr>
        <w:rPr>
          <w:rFonts w:asciiTheme="majorHAnsi" w:hAnsiTheme="majorHAnsi" w:cstheme="majorHAnsi"/>
          <w:sz w:val="22"/>
          <w:szCs w:val="22"/>
        </w:rPr>
      </w:pPr>
    </w:p>
    <w:p w:rsidR="00D75422" w:rsidP="00C8120E" w14:paraId="6EAD2500" w14:textId="77777777">
      <w:pPr>
        <w:rPr>
          <w:rFonts w:asciiTheme="majorHAnsi" w:hAnsiTheme="majorHAnsi" w:cstheme="majorHAnsi"/>
          <w:sz w:val="22"/>
          <w:szCs w:val="22"/>
        </w:rPr>
      </w:pPr>
    </w:p>
    <w:p w:rsidR="00D75422" w:rsidP="00C8120E" w14:paraId="03715BDA" w14:textId="77777777">
      <w:pPr>
        <w:rPr>
          <w:rFonts w:asciiTheme="majorHAnsi" w:hAnsiTheme="majorHAnsi" w:cstheme="majorHAnsi"/>
          <w:sz w:val="22"/>
          <w:szCs w:val="22"/>
        </w:rPr>
      </w:pPr>
    </w:p>
    <w:p w:rsidR="00D75422" w:rsidRPr="00B13198" w:rsidP="00C8120E" w14:paraId="2EDD6E92" w14:textId="77777777">
      <w:pPr>
        <w:rPr>
          <w:rFonts w:asciiTheme="majorHAnsi" w:hAnsiTheme="majorHAnsi" w:cstheme="majorHAnsi"/>
          <w:sz w:val="22"/>
          <w:szCs w:val="22"/>
        </w:rPr>
      </w:pPr>
    </w:p>
    <w:p w:rsidR="00105B00" w:rsidRPr="00B13198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105B00" w:rsidP="005B6271" w14:paraId="501B8DDB" w14:textId="6D94B1C1">
      <w:pPr>
        <w:jc w:val="both"/>
        <w:rPr>
          <w:rFonts w:asciiTheme="majorHAnsi" w:hAnsiTheme="majorHAnsi" w:cstheme="majorHAnsi"/>
          <w:sz w:val="24"/>
          <w:szCs w:val="24"/>
        </w:rPr>
      </w:pP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105B00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EDUCAÇÃO, SAÚDE, CULTURA, ESPORTE E ASSISTÊNCIA SOCIAL E FINANÇAS E ORÇAMENTO</w:t>
      </w:r>
      <w:r w:rsidRPr="00105B00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REFERENTE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PROJETO </w:t>
      </w:r>
      <w:r w:rsidRPr="00105B00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DE </w:t>
      </w:r>
      <w:r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LEI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="000D1E93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124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 MANOEL EDUARDO P</w:t>
      </w:r>
      <w:r w:rsidR="00B13198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EREIRA DA CRUZ PALOMINO</w:t>
      </w:r>
      <w:r w:rsidRPr="00105B00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105B00" w:rsidP="005B6271" w14:paraId="4C1DE4C6" w14:textId="5A8639E5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s 37 e </w:t>
      </w:r>
      <w:r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 comissão de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Finanças e Orçamento e</w:t>
      </w:r>
      <w:r w:rsidRPr="00105B00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Comissão de Educação, Saúde, Cultura, Esporte e Assistência Social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105B00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105B00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105B00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1D58BD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105B00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105B00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41BF4E93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105B00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105B00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B13198">
        <w:rPr>
          <w:rFonts w:asciiTheme="majorHAnsi" w:hAnsiTheme="majorHAnsi" w:cstheme="majorHAnsi"/>
          <w:b/>
          <w:iCs/>
          <w:sz w:val="24"/>
          <w:szCs w:val="24"/>
        </w:rPr>
        <w:t>em 01</w:t>
      </w:r>
      <w:r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B13198">
        <w:rPr>
          <w:rFonts w:asciiTheme="majorHAnsi" w:hAnsiTheme="majorHAnsi" w:cstheme="majorHAnsi"/>
          <w:b/>
          <w:iCs/>
          <w:sz w:val="24"/>
          <w:szCs w:val="24"/>
        </w:rPr>
        <w:t>de outubro</w:t>
      </w:r>
      <w:r w:rsidRPr="00105B00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</w:p>
    <w:p w:rsidR="00E80CA9" w:rsidP="005B6271" w14:paraId="577CF44D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6FB51AB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D75422" w:rsidP="00D75422" w14:paraId="5E9E00D2" w14:textId="77777777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75422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E80CA9" w:rsidRPr="00D75422" w:rsidP="00D75422" w14:paraId="6E926861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D7542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D75422" w:rsidP="00D75422" w14:paraId="01BB4741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D75422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D75422" w:rsidP="00D75422" w14:paraId="08A93F6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D75422" w:rsidP="00D75422" w14:paraId="5FF18A56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D7542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D75422" w:rsidP="00D75422" w14:paraId="62659580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D75422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D75422" w:rsidP="00D75422" w14:paraId="67F24541" w14:textId="6E25344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D75422" w:rsidP="00D75422" w14:paraId="5457BDF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D7542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D75422" w:rsidP="00D75422" w14:paraId="451F36B2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D75422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D75422" w:rsidP="00D75422" w14:paraId="74BD3121" w14:textId="7FE7AF9A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sz w:val="24"/>
          <w:szCs w:val="24"/>
        </w:rPr>
        <w:t>Membro/Relator</w:t>
      </w:r>
    </w:p>
    <w:p w:rsidR="00E80CA9" w:rsidRPr="00D75422" w:rsidP="00D75422" w14:paraId="1912B2D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D75422" w:rsidP="00D75422" w14:paraId="7D6341F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RPr="00D75422" w:rsidP="00D75422" w14:paraId="2C40C952" w14:textId="6EF099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75422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F069F9" w:rsidRPr="00D75422" w:rsidP="00D75422" w14:paraId="36B0E357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D7542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D75422" w:rsidP="00D75422" w14:paraId="3B0E5FD7" w14:textId="5AEE04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D75422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F069F9" w:rsidRPr="00D75422" w:rsidP="00D75422" w14:paraId="317F8FC7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sz w:val="24"/>
          <w:szCs w:val="24"/>
        </w:rPr>
        <w:t>Presidente</w:t>
      </w:r>
    </w:p>
    <w:p w:rsidR="00F069F9" w:rsidRPr="00D75422" w:rsidP="00D75422" w14:paraId="0993FE74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D7542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D75422" w:rsidP="00D75422" w14:paraId="31EC9656" w14:textId="20EB9CB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D75422">
        <w:rPr>
          <w:rFonts w:asciiTheme="majorHAnsi" w:hAnsiTheme="majorHAnsi" w:cstheme="majorHAnsi"/>
          <w:b/>
          <w:sz w:val="24"/>
          <w:szCs w:val="24"/>
        </w:rPr>
        <w:t xml:space="preserve">VEREADOR </w:t>
      </w:r>
      <w:r w:rsidRPr="00D75422" w:rsidR="008572E2">
        <w:rPr>
          <w:rFonts w:asciiTheme="majorHAnsi" w:hAnsiTheme="majorHAnsi" w:cstheme="majorHAnsi"/>
          <w:b/>
          <w:sz w:val="24"/>
          <w:szCs w:val="24"/>
        </w:rPr>
        <w:t>MARCIO DE</w:t>
      </w:r>
      <w:r w:rsidRPr="00D75422">
        <w:rPr>
          <w:rFonts w:asciiTheme="majorHAnsi" w:hAnsiTheme="majorHAnsi" w:cstheme="majorHAnsi"/>
          <w:b/>
          <w:sz w:val="24"/>
          <w:szCs w:val="24"/>
        </w:rPr>
        <w:t>NER CORAN</w:t>
      </w:r>
    </w:p>
    <w:p w:rsidR="00F069F9" w:rsidRPr="00D75422" w:rsidP="00D75422" w14:paraId="5C5039CE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sz w:val="24"/>
          <w:szCs w:val="24"/>
        </w:rPr>
        <w:t>Vice-Presidente</w:t>
      </w:r>
    </w:p>
    <w:p w:rsidR="00F069F9" w:rsidRPr="00D75422" w:rsidP="00D75422" w14:paraId="376F6939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D75422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D75422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D75422" w:rsidP="00D75422" w14:paraId="48247790" w14:textId="0FF9F1A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D75422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F518B8" w:rsidRPr="00D75422" w:rsidP="00D75422" w14:paraId="7D4CB6BB" w14:textId="6AF0B9F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D75422">
        <w:rPr>
          <w:rFonts w:asciiTheme="majorHAnsi" w:hAnsiTheme="majorHAnsi" w:cstheme="majorHAnsi"/>
          <w:sz w:val="24"/>
          <w:szCs w:val="24"/>
        </w:rPr>
        <w:t>Membro</w:t>
      </w:r>
    </w:p>
    <w:p w:rsidR="00F069F9" w:rsidRPr="00D75422" w:rsidP="00D75422" w14:paraId="2511596E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RPr="00D75422" w:rsidP="00D75422" w14:paraId="25A0882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P="00D75422" w14:paraId="1A9547E5" w14:textId="77777777">
      <w:pPr>
        <w:pStyle w:val="NoSpacing"/>
      </w:pPr>
    </w:p>
    <w:p w:rsidR="00F069F9" w:rsidP="00D75422" w14:paraId="6BF3E758" w14:textId="77777777">
      <w:pPr>
        <w:pStyle w:val="NoSpacing"/>
      </w:pPr>
    </w:p>
    <w:p w:rsidR="00F518B8" w:rsidRPr="00105B00" w:rsidP="00D75422" w14:paraId="030B1B39" w14:textId="77777777">
      <w:pPr>
        <w:pStyle w:val="NoSpacing"/>
        <w:rPr>
          <w:bCs/>
        </w:rPr>
      </w:pPr>
    </w:p>
    <w:sectPr w:rsidSect="00103727">
      <w:headerReference w:type="even" r:id="rId5"/>
      <w:headerReference w:type="default" r:id="rId6"/>
      <w:footerReference w:type="default" r:id="rId7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61942659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A56A53">
      <w:rPr>
        <w:rFonts w:ascii="Bookman Old Style" w:hAnsi="Bookman Old Style"/>
        <w:b/>
        <w:bCs/>
      </w:rPr>
      <w:t xml:space="preserve"> </w:t>
    </w: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F50C96"/>
    <w:multiLevelType w:val="multilevel"/>
    <w:tmpl w:val="026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57C96"/>
    <w:multiLevelType w:val="multilevel"/>
    <w:tmpl w:val="BEE2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80310"/>
    <w:multiLevelType w:val="multilevel"/>
    <w:tmpl w:val="3C9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0"/>
  </w:num>
  <w:num w:numId="5">
    <w:abstractNumId w:val="23"/>
  </w:num>
  <w:num w:numId="6">
    <w:abstractNumId w:val="28"/>
  </w:num>
  <w:num w:numId="7">
    <w:abstractNumId w:val="5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17"/>
  </w:num>
  <w:num w:numId="13">
    <w:abstractNumId w:val="0"/>
  </w:num>
  <w:num w:numId="14">
    <w:abstractNumId w:val="4"/>
  </w:num>
  <w:num w:numId="15">
    <w:abstractNumId w:val="22"/>
  </w:num>
  <w:num w:numId="16">
    <w:abstractNumId w:val="20"/>
  </w:num>
  <w:num w:numId="17">
    <w:abstractNumId w:val="8"/>
  </w:num>
  <w:num w:numId="18">
    <w:abstractNumId w:val="14"/>
  </w:num>
  <w:num w:numId="19">
    <w:abstractNumId w:val="24"/>
  </w:num>
  <w:num w:numId="20">
    <w:abstractNumId w:val="1"/>
  </w:num>
  <w:num w:numId="21">
    <w:abstractNumId w:val="21"/>
  </w:num>
  <w:num w:numId="22">
    <w:abstractNumId w:val="3"/>
  </w:num>
  <w:num w:numId="23">
    <w:abstractNumId w:val="18"/>
  </w:num>
  <w:num w:numId="24">
    <w:abstractNumId w:val="19"/>
  </w:num>
  <w:num w:numId="25">
    <w:abstractNumId w:val="26"/>
  </w:num>
  <w:num w:numId="26">
    <w:abstractNumId w:val="25"/>
  </w:num>
  <w:num w:numId="27">
    <w:abstractNumId w:val="16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D1E93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3831"/>
    <w:rsid w:val="00177254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D58BD"/>
    <w:rsid w:val="001F3B17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8628E"/>
    <w:rsid w:val="00291486"/>
    <w:rsid w:val="00297379"/>
    <w:rsid w:val="002A0A87"/>
    <w:rsid w:val="002A2BD3"/>
    <w:rsid w:val="002B71AC"/>
    <w:rsid w:val="002C1290"/>
    <w:rsid w:val="002D4B59"/>
    <w:rsid w:val="002E3DBB"/>
    <w:rsid w:val="002E578B"/>
    <w:rsid w:val="002F27D5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217D2"/>
    <w:rsid w:val="00446FA1"/>
    <w:rsid w:val="00456770"/>
    <w:rsid w:val="00464667"/>
    <w:rsid w:val="00480C81"/>
    <w:rsid w:val="004827D3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18C5"/>
    <w:rsid w:val="005E491E"/>
    <w:rsid w:val="005F2654"/>
    <w:rsid w:val="005F4E55"/>
    <w:rsid w:val="005F54DA"/>
    <w:rsid w:val="00603CE4"/>
    <w:rsid w:val="00613747"/>
    <w:rsid w:val="00620972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13198"/>
    <w:rsid w:val="00B57090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75422"/>
    <w:rsid w:val="00D80A2E"/>
    <w:rsid w:val="00D81BDB"/>
    <w:rsid w:val="00D85714"/>
    <w:rsid w:val="00D9258F"/>
    <w:rsid w:val="00DA6D43"/>
    <w:rsid w:val="00DA7AB4"/>
    <w:rsid w:val="00DB5081"/>
    <w:rsid w:val="00DB75E8"/>
    <w:rsid w:val="00DC32F0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D7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E64D-D0DC-4A37-A7E2-D63AF2D0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3</cp:revision>
  <cp:lastPrinted>2025-02-18T14:53:00Z</cp:lastPrinted>
  <dcterms:created xsi:type="dcterms:W3CDTF">2025-10-01T19:44:00Z</dcterms:created>
  <dcterms:modified xsi:type="dcterms:W3CDTF">2025-10-02T12:39:00Z</dcterms:modified>
</cp:coreProperties>
</file>