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D2616B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2616B" w:rsidRPr="00F13148" w:rsidP="00D2616B" w14:paraId="77B75E26" w14:textId="6CE3CCD2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 xml:space="preserve">DA COMISSÃO DE JUSTIÇA E REDAÇÃO REFERENTE AO VETO PARCIAL SOBRE O PROJETO DE LEI </w:t>
      </w:r>
      <w:r w:rsidR="00F52A2A">
        <w:rPr>
          <w:rFonts w:ascii="Palatino Linotype" w:hAnsi="Palatino Linotype" w:cs="Arial"/>
          <w:b/>
          <w:sz w:val="24"/>
          <w:szCs w:val="24"/>
        </w:rPr>
        <w:t>COMPLEMENTAR N° 14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DO 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67561" w:rsidRPr="00D2616B" w:rsidP="0049412D" w14:paraId="4A9B36A0" w14:textId="48106CD4">
      <w:pPr>
        <w:spacing w:line="360" w:lineRule="auto"/>
        <w:ind w:firstLine="720"/>
        <w:jc w:val="both"/>
        <w:rPr>
          <w:sz w:val="24"/>
          <w:szCs w:val="24"/>
        </w:rPr>
      </w:pPr>
      <w:r w:rsidRPr="00D2616B">
        <w:rPr>
          <w:sz w:val="24"/>
          <w:szCs w:val="24"/>
        </w:rPr>
        <w:t xml:space="preserve">Em estrita conformidade com as diretrizes normativas estabelecidas no artigo 191 da Resolução n.º 276, datada de 09 de novembro de 2010, a Comissão de Justiça e Redação desempenha sua nobre função ao apresentar o parecer em relação ao veto </w:t>
      </w:r>
      <w:r w:rsidR="005F6956">
        <w:rPr>
          <w:sz w:val="24"/>
          <w:szCs w:val="24"/>
        </w:rPr>
        <w:t>parcial ao Projeto de Lei</w:t>
      </w:r>
      <w:r w:rsidR="00F52A2A">
        <w:rPr>
          <w:sz w:val="24"/>
          <w:szCs w:val="24"/>
        </w:rPr>
        <w:t xml:space="preserve"> Complementar nº 14</w:t>
      </w:r>
      <w:r w:rsidR="005F6956">
        <w:rPr>
          <w:sz w:val="24"/>
          <w:szCs w:val="24"/>
        </w:rPr>
        <w:t xml:space="preserve"> de 2025</w:t>
      </w:r>
      <w:r w:rsidRPr="00D2616B">
        <w:rPr>
          <w:sz w:val="24"/>
          <w:szCs w:val="24"/>
        </w:rPr>
        <w:t>. O mencionado projeto tem sua autoria atribuída ao Excelentíssimo Prefeito Muni</w:t>
      </w:r>
      <w:r>
        <w:rPr>
          <w:sz w:val="24"/>
          <w:szCs w:val="24"/>
        </w:rPr>
        <w:t>cipal Paulo de Oliveira e Silva, e a sua relatoria foi designada ao vereador Wilians Mendes de Oliveira.</w:t>
      </w:r>
    </w:p>
    <w:p w:rsidR="00D2616B" w:rsidRPr="00D2616B" w:rsidP="0049412D" w14:paraId="492FEBA2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3D6D21" w:rsidP="00F67561" w14:paraId="255CBB13" w14:textId="03315D36">
      <w:pPr>
        <w:spacing w:line="360" w:lineRule="auto"/>
        <w:jc w:val="both"/>
        <w:rPr>
          <w:sz w:val="24"/>
          <w:szCs w:val="24"/>
        </w:rPr>
      </w:pPr>
      <w:r w:rsidRPr="00D2616B">
        <w:rPr>
          <w:sz w:val="24"/>
          <w:szCs w:val="24"/>
        </w:rPr>
        <w:tab/>
      </w:r>
      <w:bookmarkStart w:id="0" w:name="_GoBack"/>
      <w:bookmarkEnd w:id="0"/>
    </w:p>
    <w:p w:rsidR="00F74441" w:rsidRPr="005F6956" w:rsidP="003D6D21" w14:paraId="71819A52" w14:textId="3A4B803D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5F6956">
        <w:rPr>
          <w:rStyle w:val="Strong"/>
          <w:b/>
          <w:bCs w:val="0"/>
          <w:color w:val="auto"/>
          <w:sz w:val="24"/>
          <w:szCs w:val="24"/>
        </w:rPr>
        <w:t>I</w:t>
      </w:r>
      <w:r w:rsidRPr="005F6956" w:rsidR="00D2616B">
        <w:rPr>
          <w:rStyle w:val="Strong"/>
          <w:b/>
          <w:bCs w:val="0"/>
          <w:color w:val="auto"/>
          <w:sz w:val="24"/>
          <w:szCs w:val="24"/>
        </w:rPr>
        <w:t xml:space="preserve"> - EXPOSIÇÃO DA MATÉRIA </w:t>
      </w:r>
    </w:p>
    <w:p w:rsidR="005F6956" w:rsidRPr="005F6956" w:rsidP="0049412D" w14:paraId="29FB7EE2" w14:textId="77777777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F6956">
        <w:tab/>
      </w:r>
      <w:r w:rsidRPr="005F6956">
        <w:rPr>
          <w:color w:val="000000"/>
          <w:sz w:val="24"/>
          <w:szCs w:val="24"/>
        </w:rPr>
        <w:t>Destaco, inicialmente, que o poder de veto atribuído ao Prefeito Municipal é uma prerrogativa conferida pelo art. 66, § 1º, da Constituição Federal, estendido ao Município em conformidade com o princípio da simetria, e conforme o disposto no art. 55, §1º, da Lei Orgânica do Município de Mogi Mirim.</w:t>
      </w:r>
    </w:p>
    <w:p w:rsidR="005F6956" w:rsidRPr="005F6956" w:rsidP="0049412D" w14:paraId="303F606C" w14:textId="77777777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F6956">
        <w:rPr>
          <w:color w:val="000000"/>
          <w:sz w:val="24"/>
          <w:szCs w:val="24"/>
        </w:rPr>
        <w:tab/>
        <w:t>Nesse contexto, conforme se depreende do conteúdo desse dispositivo constitucional, o veto a um projeto de lei ocorre nos casos em que o Chefe do Poder Executivo o considera, total ou parcialmente, inconstitucional ou em desacordo com o interesse público.</w:t>
      </w:r>
    </w:p>
    <w:p w:rsidR="005F6956" w:rsidP="0049412D" w14:paraId="2AEAA012" w14:textId="58251311">
      <w:pPr>
        <w:pStyle w:val="BodyText"/>
        <w:spacing w:before="24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Refere-se </w:t>
      </w:r>
      <w:r w:rsidRPr="005F6956">
        <w:rPr>
          <w:color w:val="000000"/>
          <w:sz w:val="24"/>
          <w:szCs w:val="24"/>
        </w:rPr>
        <w:t>o veto promulgado pelo P</w:t>
      </w:r>
      <w:r>
        <w:rPr>
          <w:color w:val="000000"/>
          <w:sz w:val="24"/>
          <w:szCs w:val="24"/>
        </w:rPr>
        <w:t>refeito Municipal à</w:t>
      </w:r>
      <w:r w:rsidR="00316A22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Emenda</w:t>
      </w:r>
      <w:r w:rsidR="00316A22">
        <w:rPr>
          <w:color w:val="000000"/>
          <w:sz w:val="24"/>
          <w:szCs w:val="24"/>
        </w:rPr>
        <w:t xml:space="preserve">s nº 03, </w:t>
      </w:r>
      <w:r w:rsidR="008F22BF">
        <w:rPr>
          <w:color w:val="000000"/>
          <w:sz w:val="24"/>
          <w:szCs w:val="24"/>
        </w:rPr>
        <w:t>04, 05 e 07</w:t>
      </w:r>
      <w:r>
        <w:rPr>
          <w:color w:val="000000"/>
          <w:sz w:val="24"/>
          <w:szCs w:val="24"/>
        </w:rPr>
        <w:t xml:space="preserve"> ao Projeto de Lei </w:t>
      </w:r>
      <w:r w:rsidR="008F22BF">
        <w:rPr>
          <w:color w:val="000000"/>
          <w:sz w:val="24"/>
          <w:szCs w:val="24"/>
        </w:rPr>
        <w:t>Complementar nº 14</w:t>
      </w:r>
      <w:r>
        <w:rPr>
          <w:color w:val="000000"/>
          <w:sz w:val="24"/>
          <w:szCs w:val="24"/>
        </w:rPr>
        <w:t xml:space="preserve"> de 2025</w:t>
      </w:r>
      <w:r w:rsidRPr="005F6956">
        <w:rPr>
          <w:color w:val="000000"/>
          <w:sz w:val="24"/>
          <w:szCs w:val="24"/>
        </w:rPr>
        <w:t>, proposta pelo respeitáv</w:t>
      </w:r>
      <w:r>
        <w:rPr>
          <w:color w:val="000000"/>
          <w:sz w:val="24"/>
          <w:szCs w:val="24"/>
        </w:rPr>
        <w:t xml:space="preserve">el vereador Ernani Luiz Donatti </w:t>
      </w:r>
      <w:r>
        <w:rPr>
          <w:color w:val="000000"/>
          <w:sz w:val="24"/>
          <w:szCs w:val="24"/>
        </w:rPr>
        <w:t>Gragnanello</w:t>
      </w:r>
      <w:r w:rsidRPr="005F6956">
        <w:rPr>
          <w:color w:val="000000"/>
          <w:sz w:val="24"/>
          <w:szCs w:val="24"/>
        </w:rPr>
        <w:t>. A</w:t>
      </w:r>
      <w:r w:rsidR="00DD31B9">
        <w:rPr>
          <w:color w:val="000000"/>
          <w:sz w:val="24"/>
          <w:szCs w:val="24"/>
        </w:rPr>
        <w:t>s</w:t>
      </w:r>
      <w:r w:rsidRPr="005F6956">
        <w:rPr>
          <w:color w:val="000000"/>
          <w:sz w:val="24"/>
          <w:szCs w:val="24"/>
        </w:rPr>
        <w:t xml:space="preserve"> referida</w:t>
      </w:r>
      <w:r w:rsidR="00DD31B9">
        <w:rPr>
          <w:color w:val="000000"/>
          <w:sz w:val="24"/>
          <w:szCs w:val="24"/>
        </w:rPr>
        <w:t>s</w:t>
      </w:r>
      <w:r w:rsidRPr="005F6956">
        <w:rPr>
          <w:color w:val="000000"/>
          <w:sz w:val="24"/>
          <w:szCs w:val="24"/>
        </w:rPr>
        <w:t xml:space="preserve"> eme</w:t>
      </w:r>
      <w:r>
        <w:rPr>
          <w:color w:val="000000"/>
          <w:sz w:val="24"/>
          <w:szCs w:val="24"/>
        </w:rPr>
        <w:t>nda</w:t>
      </w:r>
      <w:r w:rsidR="00DD31B9">
        <w:rPr>
          <w:color w:val="000000"/>
          <w:sz w:val="24"/>
          <w:szCs w:val="24"/>
        </w:rPr>
        <w:t>s obti</w:t>
      </w:r>
      <w:r>
        <w:rPr>
          <w:color w:val="000000"/>
          <w:sz w:val="24"/>
          <w:szCs w:val="24"/>
        </w:rPr>
        <w:t>ve</w:t>
      </w:r>
      <w:r w:rsidR="00DD31B9">
        <w:rPr>
          <w:color w:val="000000"/>
          <w:sz w:val="24"/>
          <w:szCs w:val="24"/>
        </w:rPr>
        <w:t>ram</w:t>
      </w:r>
      <w:r>
        <w:rPr>
          <w:color w:val="000000"/>
          <w:sz w:val="24"/>
          <w:szCs w:val="24"/>
        </w:rPr>
        <w:t xml:space="preserve"> aprovação </w:t>
      </w:r>
      <w:r w:rsidR="00DD31B9">
        <w:rPr>
          <w:color w:val="000000"/>
          <w:sz w:val="24"/>
          <w:szCs w:val="24"/>
        </w:rPr>
        <w:t xml:space="preserve">da seguinte forma </w:t>
      </w:r>
      <w:r w:rsidR="00827313">
        <w:rPr>
          <w:color w:val="000000"/>
          <w:sz w:val="24"/>
          <w:szCs w:val="24"/>
        </w:rPr>
        <w:t xml:space="preserve">durante a </w:t>
      </w:r>
      <w:r w:rsidRPr="0049412D" w:rsidR="0049412D">
        <w:rPr>
          <w:sz w:val="24"/>
          <w:szCs w:val="24"/>
        </w:rPr>
        <w:t>33</w:t>
      </w:r>
      <w:r w:rsidRPr="0049412D">
        <w:rPr>
          <w:sz w:val="24"/>
          <w:szCs w:val="24"/>
        </w:rPr>
        <w:t xml:space="preserve">ª </w:t>
      </w:r>
      <w:r w:rsidR="0049412D">
        <w:rPr>
          <w:sz w:val="24"/>
          <w:szCs w:val="24"/>
        </w:rPr>
        <w:t>Sessão Ordinária, ocorrida em 29 de setembro</w:t>
      </w:r>
      <w:r w:rsidRPr="0049412D" w:rsidR="00827313">
        <w:rPr>
          <w:sz w:val="24"/>
          <w:szCs w:val="24"/>
        </w:rPr>
        <w:t xml:space="preserve"> de 2025</w:t>
      </w:r>
      <w:r w:rsidRPr="0049412D" w:rsidR="00DD31B9">
        <w:rPr>
          <w:sz w:val="24"/>
          <w:szCs w:val="24"/>
        </w:rPr>
        <w:t>:</w:t>
      </w:r>
    </w:p>
    <w:p w:rsidR="00DD31B9" w:rsidP="00DD31B9" w14:paraId="59E9F5F3" w14:textId="7167F934">
      <w:pPr>
        <w:pStyle w:val="BodyText"/>
        <w:numPr>
          <w:ilvl w:val="0"/>
          <w:numId w:val="16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Emenda n°03 – aditiva aprovada por 10 votos favoráveis a 06 contrários</w:t>
      </w:r>
    </w:p>
    <w:p w:rsidR="00DD31B9" w:rsidP="00DD31B9" w14:paraId="45E35670" w14:textId="5AF7E603">
      <w:pPr>
        <w:pStyle w:val="BodyText"/>
        <w:numPr>
          <w:ilvl w:val="0"/>
          <w:numId w:val="16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Emenda n°04 - aditiva aprovada por 12 votos favoráveis a 04 contrários</w:t>
      </w:r>
    </w:p>
    <w:p w:rsidR="00DD31B9" w:rsidP="00DD31B9" w14:paraId="449F80B0" w14:textId="58B9FCD4">
      <w:pPr>
        <w:pStyle w:val="BodyText"/>
        <w:numPr>
          <w:ilvl w:val="0"/>
          <w:numId w:val="16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Emenda n°05 - aditiva aprovada por 14 votos favoráveis a 02 contrários</w:t>
      </w:r>
    </w:p>
    <w:p w:rsidR="00DD31B9" w:rsidRPr="00DD31B9" w:rsidP="00DD31B9" w14:paraId="3CD03E25" w14:textId="59996E17">
      <w:pPr>
        <w:pStyle w:val="BodyText"/>
        <w:numPr>
          <w:ilvl w:val="0"/>
          <w:numId w:val="16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Emenda n°07 - aditiva aprovada por 14 votos favoráveis a 02 contrários</w:t>
      </w:r>
    </w:p>
    <w:p w:rsidR="00B40FAA" w:rsidP="0049412D" w14:paraId="7D805A07" w14:textId="5AFA459C">
      <w:pPr>
        <w:pStyle w:val="BodyText"/>
        <w:spacing w:before="240" w:after="0" w:line="360" w:lineRule="auto"/>
        <w:jc w:val="both"/>
        <w:rPr>
          <w:color w:val="000000"/>
          <w:sz w:val="24"/>
          <w:szCs w:val="24"/>
        </w:rPr>
      </w:pPr>
      <w:r w:rsidRPr="005F6956">
        <w:rPr>
          <w:color w:val="000000"/>
          <w:sz w:val="24"/>
          <w:szCs w:val="24"/>
        </w:rPr>
        <w:tab/>
        <w:t xml:space="preserve">A emenda </w:t>
      </w:r>
      <w:r>
        <w:rPr>
          <w:color w:val="000000"/>
          <w:sz w:val="24"/>
          <w:szCs w:val="24"/>
        </w:rPr>
        <w:t>n°03 visava acrescentar os §§ 3° e 4° ao artigo 12; a</w:t>
      </w:r>
      <w:r w:rsidRPr="005F6956">
        <w:rPr>
          <w:color w:val="000000"/>
          <w:sz w:val="24"/>
          <w:szCs w:val="24"/>
        </w:rPr>
        <w:t xml:space="preserve"> emenda </w:t>
      </w:r>
      <w:r>
        <w:rPr>
          <w:color w:val="000000"/>
          <w:sz w:val="24"/>
          <w:szCs w:val="24"/>
        </w:rPr>
        <w:t>n°04 visava acrescentar o artigo 42 e parágrafo único;</w:t>
      </w:r>
      <w:r w:rsidRPr="005F69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Pr="005F6956">
        <w:rPr>
          <w:color w:val="000000"/>
          <w:sz w:val="24"/>
          <w:szCs w:val="24"/>
        </w:rPr>
        <w:t xml:space="preserve">emenda </w:t>
      </w:r>
      <w:r>
        <w:rPr>
          <w:color w:val="000000"/>
          <w:sz w:val="24"/>
          <w:szCs w:val="24"/>
        </w:rPr>
        <w:t>n°05 visava acrescentar o artigo 43 e a</w:t>
      </w:r>
      <w:r w:rsidRPr="005F6956">
        <w:rPr>
          <w:color w:val="000000"/>
          <w:sz w:val="24"/>
          <w:szCs w:val="24"/>
        </w:rPr>
        <w:t xml:space="preserve"> emenda </w:t>
      </w:r>
      <w:r>
        <w:rPr>
          <w:color w:val="000000"/>
          <w:sz w:val="24"/>
          <w:szCs w:val="24"/>
        </w:rPr>
        <w:t>n°07 visava acrescentar o artigo 44 ao Projeto de Lei Complementar n° 14/2025.</w:t>
      </w:r>
    </w:p>
    <w:p w:rsidR="00B40FAA" w:rsidP="0049412D" w14:paraId="22B373EB" w14:textId="2AE0D363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Contudo, apesar das justificativas apresentadas pelo vereador, de alguma forma as emendas aprovadas prejudicam a finalidade e o objeto da norma em questão.</w:t>
      </w:r>
    </w:p>
    <w:p w:rsidR="00F74441" w:rsidRPr="002F0B15" w:rsidP="002F0B15" w14:paraId="452BB01C" w14:textId="4E6460BB">
      <w:pPr>
        <w:pStyle w:val="BodyText"/>
        <w:spacing w:before="240" w:after="0" w:line="240" w:lineRule="auto"/>
        <w:jc w:val="both"/>
        <w:rPr>
          <w:sz w:val="24"/>
          <w:szCs w:val="24"/>
        </w:rPr>
      </w:pPr>
    </w:p>
    <w:p w:rsidR="00D55283" w:rsidRPr="00D55283" w:rsidP="00D55283" w14:paraId="11E9A2C9" w14:textId="3948F8A3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II </w:t>
      </w:r>
      <w:r w:rsidR="002F0B15">
        <w:rPr>
          <w:rStyle w:val="Strong"/>
          <w:b/>
          <w:bCs w:val="0"/>
          <w:color w:val="auto"/>
          <w:sz w:val="24"/>
          <w:szCs w:val="24"/>
        </w:rPr>
        <w:t>–</w:t>
      </w: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 </w:t>
      </w:r>
      <w:r w:rsidR="002F0B15">
        <w:rPr>
          <w:rStyle w:val="Strong"/>
          <w:b/>
          <w:bCs w:val="0"/>
          <w:color w:val="auto"/>
          <w:sz w:val="24"/>
          <w:szCs w:val="24"/>
        </w:rPr>
        <w:t xml:space="preserve">DO MÉRITO E </w:t>
      </w:r>
      <w:r w:rsidRPr="002F0B15">
        <w:rPr>
          <w:rStyle w:val="Strong"/>
          <w:b/>
          <w:bCs w:val="0"/>
          <w:color w:val="auto"/>
          <w:sz w:val="24"/>
          <w:szCs w:val="24"/>
        </w:rPr>
        <w:t>CONCLUSÕES DO RELATOR</w:t>
      </w:r>
    </w:p>
    <w:p w:rsidR="00F11A8E" w:rsidP="0049412D" w14:paraId="49075106" w14:textId="77777777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Conforme elencado, r</w:t>
      </w:r>
      <w:r w:rsidRPr="00F11A8E">
        <w:rPr>
          <w:color w:val="000000"/>
          <w:sz w:val="24"/>
          <w:szCs w:val="24"/>
        </w:rPr>
        <w:t>efere-se o veto promulgado pelo Prefeito Municipal às Emendas nº 03, 04, 05 e 07 ao Projeto de Lei Complementar nº 14 de 2025</w:t>
      </w:r>
      <w:r>
        <w:rPr>
          <w:color w:val="000000"/>
          <w:sz w:val="24"/>
          <w:szCs w:val="24"/>
        </w:rPr>
        <w:t xml:space="preserve"> de autoria do nobre vereador Ernani Luiz Donatti </w:t>
      </w:r>
      <w:r>
        <w:rPr>
          <w:color w:val="000000"/>
          <w:sz w:val="24"/>
          <w:szCs w:val="24"/>
        </w:rPr>
        <w:t>Gragnanello</w:t>
      </w:r>
      <w:r>
        <w:rPr>
          <w:color w:val="000000"/>
          <w:sz w:val="24"/>
          <w:szCs w:val="24"/>
        </w:rPr>
        <w:t>.</w:t>
      </w:r>
    </w:p>
    <w:p w:rsidR="00F11A8E" w:rsidP="00F11A8E" w14:paraId="4B0D4FE9" w14:textId="7D8FBA38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emendas tiveram </w:t>
      </w:r>
      <w:r w:rsidR="0049412D"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seguinte teor:</w:t>
      </w:r>
    </w:p>
    <w:p w:rsidR="00F11A8E" w:rsidRPr="00F11A8E" w:rsidP="00F11A8E" w14:paraId="16615762" w14:textId="77777777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 w:rsidRPr="00F11A8E">
        <w:rPr>
          <w:b/>
          <w:color w:val="000000"/>
          <w:sz w:val="24"/>
          <w:szCs w:val="24"/>
          <w:u w:val="single"/>
        </w:rPr>
        <w:t>Emenda Aditiva n°03:</w:t>
      </w:r>
    </w:p>
    <w:p w:rsidR="00F11A8E" w:rsidP="00D55283" w14:paraId="0F214EE9" w14:textId="66D22DF2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Acrescente-se ao Art. 12 os parágrafos terceiro e quarto</w:t>
      </w:r>
      <w:r>
        <w:rPr>
          <w:color w:val="000000"/>
          <w:sz w:val="24"/>
          <w:szCs w:val="24"/>
        </w:rPr>
        <w:t>:</w:t>
      </w:r>
    </w:p>
    <w:p w:rsidR="00F11A8E" w:rsidRPr="00F11A8E" w:rsidP="0049412D" w14:paraId="6FBE30B9" w14:textId="5557BF94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Parágrafo Terceiro: A Comissão Interna para Analis</w:t>
      </w:r>
      <w:r w:rsidR="00F40276">
        <w:rPr>
          <w:color w:val="000000"/>
          <w:sz w:val="24"/>
          <w:szCs w:val="24"/>
        </w:rPr>
        <w:t xml:space="preserve">e de Valorização Imobiliária do </w:t>
      </w:r>
      <w:r w:rsidRPr="00F11A8E">
        <w:rPr>
          <w:color w:val="000000"/>
          <w:sz w:val="24"/>
          <w:szCs w:val="24"/>
        </w:rPr>
        <w:t>Município de Mogi Mirim, estabelecida no Art. 15 dever</w:t>
      </w:r>
      <w:r>
        <w:rPr>
          <w:color w:val="000000"/>
          <w:sz w:val="24"/>
          <w:szCs w:val="24"/>
        </w:rPr>
        <w:t xml:space="preserve">á realizar pelo menos 06 (seis) </w:t>
      </w:r>
      <w:r w:rsidRPr="00F11A8E">
        <w:rPr>
          <w:color w:val="000000"/>
          <w:sz w:val="24"/>
          <w:szCs w:val="24"/>
        </w:rPr>
        <w:t>audiências públicas na Cidade, antes de publicar a revisão da Planta Genérica de Valores: -</w:t>
      </w:r>
    </w:p>
    <w:p w:rsidR="00F11A8E" w:rsidRPr="00F11A8E" w:rsidP="00F11A8E" w14:paraId="6E602D61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a) Zona Leste</w:t>
      </w:r>
    </w:p>
    <w:p w:rsidR="00F11A8E" w:rsidRPr="00F11A8E" w:rsidP="00F11A8E" w14:paraId="7AB9CBF5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b) Zona Norte</w:t>
      </w:r>
    </w:p>
    <w:p w:rsidR="00F11A8E" w:rsidRPr="00F11A8E" w:rsidP="00F11A8E" w14:paraId="44D28198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c) Zona Oeste</w:t>
      </w:r>
    </w:p>
    <w:p w:rsidR="00F11A8E" w:rsidRPr="00F11A8E" w:rsidP="00F11A8E" w14:paraId="5AC28D58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d) Zona Sul</w:t>
      </w:r>
    </w:p>
    <w:p w:rsidR="00F11A8E" w:rsidRPr="00F11A8E" w:rsidP="00F11A8E" w14:paraId="74B53CBC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e) Distrito de Martim Francisco</w:t>
      </w:r>
    </w:p>
    <w:p w:rsidR="00F11A8E" w:rsidRPr="00F11A8E" w:rsidP="00F11A8E" w14:paraId="67E7FB58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f) Centro</w:t>
      </w:r>
    </w:p>
    <w:p w:rsidR="00F11A8E" w:rsidP="0049412D" w14:paraId="0BDCFC71" w14:textId="5494AD88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Parágrafo Quarto: As audiências públicas devem ocorrer n</w:t>
      </w:r>
      <w:r>
        <w:rPr>
          <w:color w:val="000000"/>
          <w:sz w:val="24"/>
          <w:szCs w:val="24"/>
        </w:rPr>
        <w:t xml:space="preserve">o período noturno ou nos finais </w:t>
      </w:r>
      <w:r w:rsidRPr="00F11A8E">
        <w:rPr>
          <w:color w:val="000000"/>
          <w:sz w:val="24"/>
          <w:szCs w:val="24"/>
        </w:rPr>
        <w:t>de semana para facilitar o acesso da população e serão transmitidas pela internet.</w:t>
      </w:r>
    </w:p>
    <w:p w:rsidR="00F11A8E" w:rsidP="00F11A8E" w14:paraId="4011D5D6" w14:textId="178C9C3E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n°04</w:t>
      </w:r>
      <w:r w:rsidRPr="00F11A8E">
        <w:rPr>
          <w:b/>
          <w:color w:val="000000"/>
          <w:sz w:val="24"/>
          <w:szCs w:val="24"/>
          <w:u w:val="single"/>
        </w:rPr>
        <w:t>:</w:t>
      </w:r>
    </w:p>
    <w:p w:rsidR="00F11A8E" w:rsidRPr="00F11A8E" w:rsidP="00F11A8E" w14:paraId="0DCA7D64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Acrescenta-se o artigo 42 e parágrafo único, renumerando os demais artigos.</w:t>
      </w:r>
    </w:p>
    <w:p w:rsidR="00F11A8E" w:rsidRPr="00F11A8E" w:rsidP="0049412D" w14:paraId="07D9E883" w14:textId="2B265FAA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Art. 42 Na próxima revisão da Planta Genérica de Valores, de</w:t>
      </w:r>
      <w:r>
        <w:rPr>
          <w:color w:val="000000"/>
          <w:sz w:val="24"/>
          <w:szCs w:val="24"/>
        </w:rPr>
        <w:t xml:space="preserve">verá ser garantido instrumentos </w:t>
      </w:r>
      <w:r w:rsidRPr="00F11A8E">
        <w:rPr>
          <w:color w:val="000000"/>
          <w:sz w:val="24"/>
          <w:szCs w:val="24"/>
        </w:rPr>
        <w:t>de transparência da gestão fiscal devendo ter ampla divu</w:t>
      </w:r>
      <w:r>
        <w:rPr>
          <w:color w:val="000000"/>
          <w:sz w:val="24"/>
          <w:szCs w:val="24"/>
        </w:rPr>
        <w:t xml:space="preserve">lgação pública, incluindo meios </w:t>
      </w:r>
      <w:r w:rsidRPr="00F11A8E">
        <w:rPr>
          <w:color w:val="000000"/>
          <w:sz w:val="24"/>
          <w:szCs w:val="24"/>
        </w:rPr>
        <w:t>eletrônicos, e a realização de audiência públicas, assegurando a pa</w:t>
      </w:r>
      <w:r>
        <w:rPr>
          <w:color w:val="000000"/>
          <w:sz w:val="24"/>
          <w:szCs w:val="24"/>
        </w:rPr>
        <w:t xml:space="preserve">rticipação popular nas </w:t>
      </w:r>
      <w:r w:rsidRPr="00F11A8E">
        <w:rPr>
          <w:color w:val="000000"/>
          <w:sz w:val="24"/>
          <w:szCs w:val="24"/>
        </w:rPr>
        <w:t>seguintes regiões: -</w:t>
      </w:r>
    </w:p>
    <w:p w:rsidR="00F11A8E" w:rsidRPr="00F11A8E" w:rsidP="00F11A8E" w14:paraId="4DB9A6F5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g) Zona Leste</w:t>
      </w:r>
    </w:p>
    <w:p w:rsidR="00F11A8E" w:rsidRPr="00F11A8E" w:rsidP="00F11A8E" w14:paraId="6646D5C6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h) Zona Norte</w:t>
      </w:r>
    </w:p>
    <w:p w:rsidR="00F11A8E" w:rsidRPr="00F11A8E" w:rsidP="00F11A8E" w14:paraId="468405CA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i) Zona Oeste</w:t>
      </w:r>
    </w:p>
    <w:p w:rsidR="00F11A8E" w:rsidRPr="00F11A8E" w:rsidP="00F11A8E" w14:paraId="51DEEFB2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j) Zona Sul</w:t>
      </w:r>
    </w:p>
    <w:p w:rsidR="00F11A8E" w:rsidRPr="00F11A8E" w:rsidP="00F11A8E" w14:paraId="709E6D48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k) Distrito de Martim Francisco</w:t>
      </w:r>
    </w:p>
    <w:p w:rsidR="00F11A8E" w:rsidRPr="00F11A8E" w:rsidP="0049412D" w14:paraId="08D35966" w14:textId="77777777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l) Centro</w:t>
      </w:r>
    </w:p>
    <w:p w:rsidR="00F11A8E" w:rsidRPr="00F11A8E" w:rsidP="0049412D" w14:paraId="0852A761" w14:textId="11554968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Parágrafo Único. As audiências públicas devem ocorrer no p</w:t>
      </w:r>
      <w:r>
        <w:rPr>
          <w:color w:val="000000"/>
          <w:sz w:val="24"/>
          <w:szCs w:val="24"/>
        </w:rPr>
        <w:t xml:space="preserve">eríodo noturno ou nos finais de </w:t>
      </w:r>
      <w:r w:rsidRPr="00F11A8E">
        <w:rPr>
          <w:color w:val="000000"/>
          <w:sz w:val="24"/>
          <w:szCs w:val="24"/>
        </w:rPr>
        <w:t>semana para facilitar o acesso da população e serão transmitidas pela internet.</w:t>
      </w:r>
    </w:p>
    <w:p w:rsidR="00F11A8E" w:rsidP="00F11A8E" w14:paraId="32591CC7" w14:textId="62F70003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n°05</w:t>
      </w:r>
      <w:r w:rsidRPr="00F11A8E">
        <w:rPr>
          <w:b/>
          <w:color w:val="000000"/>
          <w:sz w:val="24"/>
          <w:szCs w:val="24"/>
          <w:u w:val="single"/>
        </w:rPr>
        <w:t>:</w:t>
      </w:r>
    </w:p>
    <w:p w:rsidR="00F11A8E" w:rsidRPr="00F11A8E" w:rsidP="0049412D" w14:paraId="6AAC1FB7" w14:textId="77777777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Acrescenta-se o artigo 43, renumerando os demais artigos.</w:t>
      </w:r>
    </w:p>
    <w:p w:rsidR="00F11A8E" w:rsidP="0049412D" w14:paraId="37CD2C94" w14:textId="6847B6AC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Art. 43 Será constituída uma Comissão com a participação d</w:t>
      </w:r>
      <w:r>
        <w:rPr>
          <w:color w:val="000000"/>
          <w:sz w:val="24"/>
          <w:szCs w:val="24"/>
        </w:rPr>
        <w:t xml:space="preserve">e representantes de corretores, </w:t>
      </w:r>
      <w:r w:rsidRPr="00F11A8E">
        <w:rPr>
          <w:color w:val="000000"/>
          <w:sz w:val="24"/>
          <w:szCs w:val="24"/>
        </w:rPr>
        <w:t>engenheiros advogados e técnicos da prefeitura para os futuros Projetos de Lei Complementar</w:t>
      </w:r>
      <w:r>
        <w:rPr>
          <w:color w:val="000000"/>
          <w:sz w:val="24"/>
          <w:szCs w:val="24"/>
        </w:rPr>
        <w:t xml:space="preserve"> </w:t>
      </w:r>
      <w:r w:rsidRPr="00F11A8E">
        <w:rPr>
          <w:color w:val="000000"/>
          <w:sz w:val="24"/>
          <w:szCs w:val="24"/>
        </w:rPr>
        <w:t>que trate da Planta Genérica de Valores e instituição de Impostos Predial e Territorial Urbano</w:t>
      </w:r>
      <w:r>
        <w:rPr>
          <w:color w:val="000000"/>
          <w:sz w:val="24"/>
          <w:szCs w:val="24"/>
        </w:rPr>
        <w:t xml:space="preserve"> </w:t>
      </w:r>
      <w:r w:rsidRPr="00F11A8E">
        <w:rPr>
          <w:color w:val="000000"/>
          <w:sz w:val="24"/>
          <w:szCs w:val="24"/>
        </w:rPr>
        <w:t>(IPTU).</w:t>
      </w:r>
    </w:p>
    <w:p w:rsidR="00F11A8E" w:rsidP="00F11A8E" w14:paraId="7E33BCBB" w14:textId="199FAC51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n°07</w:t>
      </w:r>
      <w:r w:rsidRPr="00F11A8E">
        <w:rPr>
          <w:b/>
          <w:color w:val="000000"/>
          <w:sz w:val="24"/>
          <w:szCs w:val="24"/>
          <w:u w:val="single"/>
        </w:rPr>
        <w:t>:</w:t>
      </w:r>
    </w:p>
    <w:p w:rsidR="00F11A8E" w:rsidRPr="00F11A8E" w:rsidP="0049412D" w14:paraId="69D2BBE6" w14:textId="77777777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Acrescenta-se o artigo 44, renumerando os demais artigos.</w:t>
      </w:r>
    </w:p>
    <w:p w:rsidR="00F11A8E" w:rsidRPr="00F11A8E" w:rsidP="0049412D" w14:paraId="5410D3D6" w14:textId="6C2610F5">
      <w:pPr>
        <w:pStyle w:val="BodyText"/>
        <w:spacing w:before="240" w:line="360" w:lineRule="auto"/>
        <w:ind w:firstLine="720"/>
        <w:jc w:val="both"/>
        <w:rPr>
          <w:color w:val="000000"/>
          <w:sz w:val="24"/>
          <w:szCs w:val="24"/>
        </w:rPr>
      </w:pPr>
      <w:r w:rsidRPr="00F11A8E">
        <w:rPr>
          <w:color w:val="000000"/>
          <w:sz w:val="24"/>
          <w:szCs w:val="24"/>
        </w:rPr>
        <w:t>Art. 44 O Poder Executivo deverá apresentar com antecedência</w:t>
      </w:r>
      <w:r>
        <w:rPr>
          <w:color w:val="000000"/>
          <w:sz w:val="24"/>
          <w:szCs w:val="24"/>
        </w:rPr>
        <w:t xml:space="preserve"> de 60 (sessenta) dias antes do </w:t>
      </w:r>
      <w:r w:rsidRPr="00F11A8E">
        <w:rPr>
          <w:color w:val="000000"/>
          <w:sz w:val="24"/>
          <w:szCs w:val="24"/>
        </w:rPr>
        <w:t>prazo fatal no futuro, Projetos de Lei Complementar que trate da Planta Genérica de Valores e</w:t>
      </w:r>
      <w:r>
        <w:rPr>
          <w:color w:val="000000"/>
          <w:sz w:val="24"/>
          <w:szCs w:val="24"/>
        </w:rPr>
        <w:t xml:space="preserve"> </w:t>
      </w:r>
      <w:r w:rsidRPr="00F11A8E">
        <w:rPr>
          <w:color w:val="000000"/>
          <w:sz w:val="24"/>
          <w:szCs w:val="24"/>
        </w:rPr>
        <w:t>instituição de Impostos Predial e Territorial Urbano (IPTU).</w:t>
      </w:r>
    </w:p>
    <w:p w:rsidR="00F40276" w:rsidP="0049412D" w14:paraId="7A682FB5" w14:textId="77777777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Desse modo, diante do teor das emendas acima apresentadas e conforme Mensagem de Veto Parcial ao Projeto de Lei Complementar n°14/2025, seguido de parecer da Procuradoria </w:t>
      </w:r>
      <w:r>
        <w:rPr>
          <w:color w:val="000000"/>
          <w:sz w:val="24"/>
          <w:szCs w:val="24"/>
        </w:rPr>
        <w:t>Municipal verifica-se que as r</w:t>
      </w:r>
      <w:r>
        <w:rPr>
          <w:color w:val="000000"/>
          <w:sz w:val="24"/>
          <w:szCs w:val="24"/>
        </w:rPr>
        <w:t>azões do veto merecem prosperar, pois as emendas, da forma que foram apresentadas, de uma forma geral extrapolam a competência legislativa, invadindo a esfera de atuação privativa do Poder Executivo, em afronta ao princípio da separação dos poderes, previsto expressamente no artigo 2° da Constituição Federal.</w:t>
      </w:r>
    </w:p>
    <w:p w:rsidR="007E1D67" w:rsidP="0049412D" w14:paraId="22F61EF9" w14:textId="640FB8E6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motivação do veto elencou cinco principais fundamentos: (i) discricionariedade administrativa, (</w:t>
      </w:r>
      <w:r>
        <w:rPr>
          <w:color w:val="000000"/>
          <w:sz w:val="24"/>
          <w:szCs w:val="24"/>
        </w:rPr>
        <w:t>ii</w:t>
      </w:r>
      <w:r>
        <w:rPr>
          <w:color w:val="000000"/>
          <w:sz w:val="24"/>
          <w:szCs w:val="24"/>
        </w:rPr>
        <w:t>) separação dos poderes, (</w:t>
      </w:r>
      <w:r>
        <w:rPr>
          <w:color w:val="000000"/>
          <w:sz w:val="24"/>
          <w:szCs w:val="24"/>
        </w:rPr>
        <w:t>iii</w:t>
      </w:r>
      <w:r>
        <w:rPr>
          <w:color w:val="000000"/>
          <w:sz w:val="24"/>
          <w:szCs w:val="24"/>
        </w:rPr>
        <w:t>) redundância e inconstitucionalidade, (</w:t>
      </w:r>
      <w:r>
        <w:rPr>
          <w:color w:val="000000"/>
          <w:sz w:val="24"/>
          <w:szCs w:val="24"/>
        </w:rPr>
        <w:t>iv</w:t>
      </w:r>
      <w:r>
        <w:rPr>
          <w:color w:val="000000"/>
          <w:sz w:val="24"/>
          <w:szCs w:val="24"/>
        </w:rPr>
        <w:t xml:space="preserve">) organização interna da Administração e (v) prazo impositivo. </w:t>
      </w:r>
      <w:r w:rsidR="00F11A8E">
        <w:rPr>
          <w:color w:val="000000"/>
          <w:sz w:val="24"/>
          <w:szCs w:val="24"/>
        </w:rPr>
        <w:t xml:space="preserve"> </w:t>
      </w:r>
    </w:p>
    <w:p w:rsidR="00F40276" w:rsidP="0049412D" w14:paraId="4A35427F" w14:textId="2E4C3E64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Realmente, por meio das emendas n° 03 e 04 que dispuseram sobre a obrigatoriedade de audiência pública, com especificação de horário para ocorrerem com o fim de revisar a </w:t>
      </w:r>
      <w:r w:rsidRPr="00F11A8E">
        <w:rPr>
          <w:color w:val="000000"/>
          <w:sz w:val="24"/>
          <w:szCs w:val="24"/>
        </w:rPr>
        <w:t>Planta Genérica de Valores</w:t>
      </w:r>
      <w:r w:rsidR="003033DE">
        <w:rPr>
          <w:color w:val="000000"/>
          <w:sz w:val="24"/>
          <w:szCs w:val="24"/>
        </w:rPr>
        <w:t>, interfere</w:t>
      </w:r>
      <w:r w:rsidR="0049412D">
        <w:rPr>
          <w:color w:val="000000"/>
          <w:sz w:val="24"/>
          <w:szCs w:val="24"/>
        </w:rPr>
        <w:t>-se</w:t>
      </w:r>
      <w:r w:rsidR="003033DE">
        <w:rPr>
          <w:color w:val="000000"/>
          <w:sz w:val="24"/>
          <w:szCs w:val="24"/>
        </w:rPr>
        <w:t xml:space="preserve"> na discricionariedade administrativa, engessando a atuação do Poder Executivo, também implicando em ingerência legislativa na definição de procedimentos típicos da gestão administrativa.</w:t>
      </w:r>
    </w:p>
    <w:p w:rsidR="007E1D67" w:rsidP="0049412D" w14:paraId="29C84F94" w14:textId="4C49E284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meio da emenda n°05 que trouxe previsão de constituição de uma Comissão com </w:t>
      </w:r>
      <w:r w:rsidRPr="00F11A8E">
        <w:rPr>
          <w:color w:val="000000"/>
          <w:sz w:val="24"/>
          <w:szCs w:val="24"/>
        </w:rPr>
        <w:t>a participação d</w:t>
      </w:r>
      <w:r>
        <w:rPr>
          <w:color w:val="000000"/>
          <w:sz w:val="24"/>
          <w:szCs w:val="24"/>
        </w:rPr>
        <w:t xml:space="preserve">e representantes de corretores, </w:t>
      </w:r>
      <w:r w:rsidRPr="00F11A8E">
        <w:rPr>
          <w:color w:val="000000"/>
          <w:sz w:val="24"/>
          <w:szCs w:val="24"/>
        </w:rPr>
        <w:t>engenheiros</w:t>
      </w:r>
      <w:r>
        <w:rPr>
          <w:color w:val="000000"/>
          <w:sz w:val="24"/>
          <w:szCs w:val="24"/>
        </w:rPr>
        <w:t>,</w:t>
      </w:r>
      <w:r w:rsidRPr="00F11A8E">
        <w:rPr>
          <w:color w:val="000000"/>
          <w:sz w:val="24"/>
          <w:szCs w:val="24"/>
        </w:rPr>
        <w:t xml:space="preserve"> advogados </w:t>
      </w:r>
      <w:r>
        <w:rPr>
          <w:color w:val="000000"/>
          <w:sz w:val="24"/>
          <w:szCs w:val="24"/>
        </w:rPr>
        <w:t>e técnicos da prefeitura para</w:t>
      </w:r>
      <w:r w:rsidRPr="00F11A8E">
        <w:rPr>
          <w:color w:val="000000"/>
          <w:sz w:val="24"/>
          <w:szCs w:val="24"/>
        </w:rPr>
        <w:t xml:space="preserve"> futuros Projetos de Lei Complementar</w:t>
      </w:r>
      <w:r>
        <w:rPr>
          <w:color w:val="000000"/>
          <w:sz w:val="24"/>
          <w:szCs w:val="24"/>
        </w:rPr>
        <w:t xml:space="preserve"> </w:t>
      </w:r>
      <w:r w:rsidRPr="00F11A8E">
        <w:rPr>
          <w:color w:val="000000"/>
          <w:sz w:val="24"/>
          <w:szCs w:val="24"/>
        </w:rPr>
        <w:t>que trate da Planta Genérica de Valores e instituição de Impostos Predial e Territorial Urbano</w:t>
      </w:r>
      <w:r>
        <w:rPr>
          <w:color w:val="000000"/>
          <w:sz w:val="24"/>
          <w:szCs w:val="24"/>
        </w:rPr>
        <w:t xml:space="preserve"> </w:t>
      </w:r>
      <w:r w:rsidRPr="00F11A8E">
        <w:rPr>
          <w:color w:val="000000"/>
          <w:sz w:val="24"/>
          <w:szCs w:val="24"/>
        </w:rPr>
        <w:t>(IPTU)</w:t>
      </w:r>
      <w:r>
        <w:rPr>
          <w:color w:val="000000"/>
          <w:sz w:val="24"/>
          <w:szCs w:val="24"/>
        </w:rPr>
        <w:t>, caracteriza-se também ingerência direta na estrutura administrativa do Município, visto que cabe ao Executivo organizar seus órgãos e procedimentos internos.</w:t>
      </w:r>
    </w:p>
    <w:p w:rsidR="00D55283" w:rsidRPr="003033DE" w:rsidP="0049412D" w14:paraId="5FA3837C" w14:textId="573855B1">
      <w:pPr>
        <w:pStyle w:val="BodyText"/>
        <w:spacing w:before="240" w:line="360" w:lineRule="auto"/>
        <w:ind w:firstLine="720"/>
        <w:jc w:val="both"/>
        <w:rPr>
          <w:rStyle w:val="Strong"/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fim, a emenda n° 07 </w:t>
      </w:r>
      <w:r w:rsidR="00253134">
        <w:rPr>
          <w:color w:val="000000"/>
          <w:sz w:val="24"/>
          <w:szCs w:val="24"/>
        </w:rPr>
        <w:t xml:space="preserve">adicionou a obrigatoriedade </w:t>
      </w:r>
      <w:r w:rsidR="00253134">
        <w:rPr>
          <w:color w:val="000000"/>
          <w:sz w:val="24"/>
          <w:szCs w:val="24"/>
        </w:rPr>
        <w:t>do</w:t>
      </w:r>
      <w:r w:rsidRPr="00F11A8E">
        <w:rPr>
          <w:color w:val="000000"/>
          <w:sz w:val="24"/>
          <w:szCs w:val="24"/>
        </w:rPr>
        <w:t xml:space="preserve"> Poder Executivo apresentar com antecedência</w:t>
      </w:r>
      <w:r>
        <w:rPr>
          <w:color w:val="000000"/>
          <w:sz w:val="24"/>
          <w:szCs w:val="24"/>
        </w:rPr>
        <w:t xml:space="preserve"> de 60 (sessenta) dias antes do </w:t>
      </w:r>
      <w:r w:rsidRPr="00F11A8E">
        <w:rPr>
          <w:color w:val="000000"/>
          <w:sz w:val="24"/>
          <w:szCs w:val="24"/>
        </w:rPr>
        <w:t>prazo fatal no futuro, Projetos de Lei Complementar que trate da Planta Genérica de Valores e</w:t>
      </w:r>
      <w:r>
        <w:rPr>
          <w:color w:val="000000"/>
          <w:sz w:val="24"/>
          <w:szCs w:val="24"/>
        </w:rPr>
        <w:t xml:space="preserve"> </w:t>
      </w:r>
      <w:r w:rsidRPr="00F11A8E">
        <w:rPr>
          <w:color w:val="000000"/>
          <w:sz w:val="24"/>
          <w:szCs w:val="24"/>
        </w:rPr>
        <w:t>instituição de Impostos Pred</w:t>
      </w:r>
      <w:r w:rsidR="00253134">
        <w:rPr>
          <w:color w:val="000000"/>
          <w:sz w:val="24"/>
          <w:szCs w:val="24"/>
        </w:rPr>
        <w:t>ial e Territorial Urbano (IPTU), com isso, tal previsão também caracteriza ingerência administrativa ao estabelecer prazo determinado para a prática de ato administrativo.</w:t>
      </w:r>
    </w:p>
    <w:p w:rsidR="002F0B15" w:rsidRPr="002F0B15" w:rsidP="0049412D" w14:paraId="51F2BDF7" w14:textId="2E592F3D">
      <w:pPr>
        <w:pStyle w:val="BodyText"/>
        <w:spacing w:line="360" w:lineRule="auto"/>
        <w:ind w:firstLine="72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ar-SA"/>
        </w:rPr>
        <w:t>Assim, d</w:t>
      </w:r>
      <w:r w:rsidR="00701397">
        <w:rPr>
          <w:bCs/>
          <w:color w:val="000000"/>
          <w:sz w:val="24"/>
          <w:szCs w:val="24"/>
          <w:lang w:eastAsia="ar-SA"/>
        </w:rPr>
        <w:t>iante do exposto, a</w:t>
      </w:r>
      <w:r w:rsidRPr="002F0B15">
        <w:rPr>
          <w:bCs/>
          <w:color w:val="000000"/>
          <w:sz w:val="24"/>
          <w:szCs w:val="24"/>
          <w:lang w:eastAsia="ar-SA"/>
        </w:rPr>
        <w:t xml:space="preserve">pós uma minuciosa análise da matéria em questão, verificamos que os requisitos de constitucionalidade </w:t>
      </w:r>
      <w:r w:rsidR="0049412D">
        <w:rPr>
          <w:bCs/>
          <w:color w:val="000000"/>
          <w:sz w:val="24"/>
          <w:szCs w:val="24"/>
          <w:lang w:eastAsia="ar-SA"/>
        </w:rPr>
        <w:t xml:space="preserve">do veto </w:t>
      </w:r>
      <w:r w:rsidRPr="002F0B15">
        <w:rPr>
          <w:bCs/>
          <w:color w:val="000000"/>
          <w:sz w:val="24"/>
          <w:szCs w:val="24"/>
          <w:lang w:eastAsia="ar-SA"/>
        </w:rPr>
        <w:t xml:space="preserve">foram integralmente atendidos, estando em conformidade com os preceitos legais necessários para sua continuidade. </w:t>
      </w:r>
    </w:p>
    <w:p w:rsidR="002F0B15" w:rsidP="0049412D" w14:paraId="686E9DB8" w14:textId="77777777">
      <w:pPr>
        <w:pStyle w:val="BodyText"/>
        <w:spacing w:line="360" w:lineRule="auto"/>
        <w:jc w:val="both"/>
        <w:rPr>
          <w:bCs/>
          <w:color w:val="000000"/>
          <w:sz w:val="24"/>
          <w:szCs w:val="24"/>
          <w:lang w:eastAsia="ar-SA"/>
        </w:rPr>
      </w:pPr>
      <w:r w:rsidRPr="002F0B15">
        <w:rPr>
          <w:bCs/>
          <w:color w:val="000000"/>
          <w:sz w:val="24"/>
          <w:szCs w:val="24"/>
          <w:lang w:eastAsia="ar-SA"/>
        </w:rPr>
        <w:tab/>
        <w:t xml:space="preserve">É relevante destacar que o trâmite da propositura está em estrita conformidade com os termos estabelecidos na Resolução n.º 276, datada de 09 de novembro de 2010 (Regimento Interno). Sendo assim, o veto segue o Regimento desta Casa de Leis e os demais dispositivos legais aplicáveis. Quanto ao aspecto constitucional, legal e regimental, não identificamos </w:t>
      </w:r>
      <w:r w:rsidRPr="002F0B15">
        <w:rPr>
          <w:bCs/>
          <w:color w:val="000000"/>
          <w:sz w:val="24"/>
          <w:szCs w:val="24"/>
          <w:lang w:eastAsia="ar-SA"/>
        </w:rPr>
        <w:t>quaisquer conflitos com o ordenamento jurídico vigente, não havendo indícios de inconstitucionalidade.</w:t>
      </w:r>
    </w:p>
    <w:p w:rsidR="002F0B15" w:rsidRPr="002F0B15" w:rsidP="002F0B15" w14:paraId="195B48FC" w14:textId="77777777">
      <w:pPr>
        <w:pStyle w:val="BodyText"/>
        <w:jc w:val="both"/>
        <w:rPr>
          <w:sz w:val="24"/>
          <w:szCs w:val="24"/>
        </w:rPr>
      </w:pPr>
    </w:p>
    <w:p w:rsidR="00F74441" w:rsidRPr="002F0B15" w:rsidP="003D6D21" w14:paraId="0089363A" w14:textId="5EA630A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F0B15" w:rsidR="002F0B15">
        <w:rPr>
          <w:rStyle w:val="Strong"/>
          <w:b/>
          <w:bCs w:val="0"/>
          <w:color w:val="auto"/>
          <w:sz w:val="24"/>
          <w:szCs w:val="24"/>
        </w:rPr>
        <w:t xml:space="preserve"> - DECISÃO DO RELATOR</w:t>
      </w:r>
    </w:p>
    <w:p w:rsidR="002F0B15" w:rsidRPr="002F0B15" w:rsidP="0049412D" w14:paraId="3D8F35DD" w14:textId="1C130168">
      <w:pPr>
        <w:pStyle w:val="BodyText"/>
        <w:shd w:val="clear" w:color="auto" w:fill="FFFFFF"/>
        <w:spacing w:before="240" w:after="0" w:line="360" w:lineRule="auto"/>
        <w:jc w:val="both"/>
        <w:rPr>
          <w:sz w:val="24"/>
          <w:szCs w:val="24"/>
        </w:rPr>
      </w:pPr>
      <w:r w:rsidRPr="002F0B15">
        <w:tab/>
      </w:r>
      <w:r w:rsidRPr="002F0B15">
        <w:rPr>
          <w:rFonts w:eastAsia="Arial"/>
          <w:sz w:val="24"/>
          <w:szCs w:val="24"/>
        </w:rPr>
        <w:t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apresentado. A ausência de impedimentos de ordem constitucional e legal confirma a sua plena ade</w:t>
      </w:r>
      <w:r w:rsidR="00701397">
        <w:rPr>
          <w:rFonts w:eastAsia="Arial"/>
          <w:sz w:val="24"/>
          <w:szCs w:val="24"/>
        </w:rPr>
        <w:t>quação ao ordenamento jurídico</w:t>
      </w:r>
      <w:r w:rsidRPr="002F0B15">
        <w:rPr>
          <w:rFonts w:eastAsia="Arial"/>
          <w:sz w:val="24"/>
          <w:szCs w:val="24"/>
        </w:rPr>
        <w:t xml:space="preserve">. Portanto, a recomendação é de que este Plenário aprecie a presente </w:t>
      </w:r>
      <w:r w:rsidR="0049412D">
        <w:rPr>
          <w:rFonts w:eastAsia="Arial"/>
          <w:sz w:val="24"/>
          <w:szCs w:val="24"/>
        </w:rPr>
        <w:t>propositura</w:t>
      </w:r>
      <w:r w:rsidRPr="002F0B15">
        <w:rPr>
          <w:rFonts w:eastAsia="Arial"/>
          <w:sz w:val="24"/>
          <w:szCs w:val="24"/>
        </w:rPr>
        <w:t>.</w:t>
      </w:r>
    </w:p>
    <w:p w:rsidR="00F74441" w:rsidRPr="003D6D21" w:rsidP="002F0B15" w14:paraId="64715406" w14:textId="684F1521">
      <w:pPr>
        <w:pStyle w:val="NormalWeb"/>
        <w:spacing w:line="360" w:lineRule="auto"/>
        <w:jc w:val="both"/>
      </w:pPr>
    </w:p>
    <w:p w:rsidR="00F74441" w:rsidRPr="002F0B15" w:rsidP="003D6D21" w14:paraId="6AB168D8" w14:textId="0B9946D4">
      <w:pPr>
        <w:pStyle w:val="NormalWeb"/>
        <w:spacing w:line="360" w:lineRule="auto"/>
        <w:jc w:val="center"/>
      </w:pPr>
      <w:r w:rsidRPr="002F0B15">
        <w:rPr>
          <w:rStyle w:val="Strong"/>
        </w:rPr>
        <w:t>SALA DAS SESSÕES</w:t>
      </w:r>
      <w:r w:rsidRPr="002F0B15" w:rsidR="00603CE4">
        <w:rPr>
          <w:rStyle w:val="Strong"/>
        </w:rPr>
        <w:t xml:space="preserve"> “VEREADOR SANT</w:t>
      </w:r>
      <w:r w:rsidR="00253134">
        <w:rPr>
          <w:rStyle w:val="Strong"/>
        </w:rPr>
        <w:t>O RÓTTOLI”, em 07 de outubro</w:t>
      </w:r>
      <w:r w:rsidRPr="002F0B15">
        <w:rPr>
          <w:rStyle w:val="Strong"/>
        </w:rPr>
        <w:t xml:space="preserve"> de 2025.</w:t>
      </w:r>
    </w:p>
    <w:p w:rsidR="003D6D2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F6756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F67561">
        <w:rPr>
          <w:bCs/>
          <w:i/>
          <w:sz w:val="24"/>
          <w:szCs w:val="24"/>
        </w:rPr>
        <w:t>(</w:t>
      </w:r>
      <w:r w:rsidRPr="00F67561">
        <w:rPr>
          <w:bCs/>
          <w:i/>
          <w:sz w:val="24"/>
          <w:szCs w:val="24"/>
        </w:rPr>
        <w:t>assinado</w:t>
      </w:r>
      <w:r w:rsidRPr="00F67561">
        <w:rPr>
          <w:bCs/>
          <w:i/>
          <w:sz w:val="24"/>
          <w:szCs w:val="24"/>
        </w:rPr>
        <w:t xml:space="preserve"> digitalmente)</w:t>
      </w:r>
    </w:p>
    <w:p w:rsidR="00F74441" w:rsidRPr="00F67561" w:rsidP="003D6D21" w14:paraId="7E34DE79" w14:textId="05061565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67561">
        <w:rPr>
          <w:b/>
          <w:sz w:val="24"/>
          <w:szCs w:val="24"/>
          <w:highlight w:val="white"/>
          <w:u w:val="single"/>
        </w:rPr>
        <w:t xml:space="preserve">VEREADOR </w:t>
      </w:r>
      <w:r w:rsidR="00F67561">
        <w:rPr>
          <w:b/>
          <w:sz w:val="24"/>
          <w:szCs w:val="24"/>
          <w:highlight w:val="white"/>
          <w:u w:val="single"/>
        </w:rPr>
        <w:t>WILIANS MENDES DE OLIVEIRA</w:t>
      </w:r>
    </w:p>
    <w:p w:rsidR="00F74441" w:rsidRPr="00F67561" w:rsidP="003D6D21" w14:paraId="4D47B5CD" w14:textId="32DC85A5">
      <w:pPr>
        <w:spacing w:line="360" w:lineRule="auto"/>
        <w:jc w:val="center"/>
        <w:rPr>
          <w:sz w:val="24"/>
          <w:szCs w:val="24"/>
        </w:rPr>
      </w:pPr>
      <w:r w:rsidRPr="00F67561">
        <w:rPr>
          <w:sz w:val="24"/>
          <w:szCs w:val="24"/>
        </w:rPr>
        <w:t>Presidente/</w:t>
      </w:r>
      <w:r w:rsidRPr="00F67561">
        <w:rPr>
          <w:sz w:val="24"/>
          <w:szCs w:val="24"/>
        </w:rPr>
        <w:t>Relator</w:t>
      </w:r>
    </w:p>
    <w:p w:rsidR="00F13148" w:rsidP="00F54B63" w14:paraId="45DD80A7" w14:textId="77777777">
      <w:pPr>
        <w:spacing w:line="360" w:lineRule="auto"/>
        <w:rPr>
          <w:sz w:val="24"/>
          <w:szCs w:val="24"/>
        </w:rPr>
      </w:pPr>
    </w:p>
    <w:p w:rsidR="00F67561" w:rsidP="00F54B63" w14:paraId="556F6A81" w14:textId="77777777">
      <w:pPr>
        <w:spacing w:line="360" w:lineRule="auto"/>
        <w:rPr>
          <w:sz w:val="24"/>
          <w:szCs w:val="24"/>
        </w:rPr>
      </w:pPr>
    </w:p>
    <w:p w:rsidR="00F67561" w:rsidP="00F54B63" w14:paraId="2E55B427" w14:textId="77777777">
      <w:pPr>
        <w:spacing w:line="360" w:lineRule="auto"/>
        <w:rPr>
          <w:sz w:val="24"/>
          <w:szCs w:val="24"/>
        </w:rPr>
      </w:pPr>
    </w:p>
    <w:p w:rsidR="00F67561" w:rsidP="00F54B63" w14:paraId="28ECF51D" w14:textId="77777777">
      <w:pPr>
        <w:spacing w:line="360" w:lineRule="auto"/>
        <w:rPr>
          <w:sz w:val="24"/>
          <w:szCs w:val="24"/>
        </w:rPr>
      </w:pPr>
    </w:p>
    <w:p w:rsidR="00F67561" w:rsidP="00F54B63" w14:paraId="2584352D" w14:textId="77777777">
      <w:pPr>
        <w:spacing w:line="360" w:lineRule="auto"/>
        <w:rPr>
          <w:sz w:val="24"/>
          <w:szCs w:val="24"/>
        </w:rPr>
      </w:pPr>
    </w:p>
    <w:p w:rsidR="00F67561" w:rsidP="00F54B63" w14:paraId="5BF8B871" w14:textId="77777777">
      <w:pPr>
        <w:spacing w:line="360" w:lineRule="auto"/>
        <w:rPr>
          <w:sz w:val="24"/>
          <w:szCs w:val="24"/>
        </w:rPr>
      </w:pPr>
    </w:p>
    <w:p w:rsidR="00F67561" w:rsidP="00F54B63" w14:paraId="6FC8B09F" w14:textId="77777777">
      <w:pPr>
        <w:spacing w:line="360" w:lineRule="auto"/>
        <w:rPr>
          <w:sz w:val="24"/>
          <w:szCs w:val="24"/>
        </w:rPr>
      </w:pPr>
    </w:p>
    <w:p w:rsidR="00F67561" w:rsidP="00F54B63" w14:paraId="012CC158" w14:textId="77777777">
      <w:pPr>
        <w:spacing w:line="360" w:lineRule="auto"/>
        <w:rPr>
          <w:sz w:val="24"/>
          <w:szCs w:val="24"/>
        </w:rPr>
      </w:pPr>
    </w:p>
    <w:p w:rsidR="00F67561" w:rsidP="00F54B63" w14:paraId="2D0210EE" w14:textId="77777777">
      <w:pPr>
        <w:spacing w:line="360" w:lineRule="auto"/>
        <w:rPr>
          <w:sz w:val="24"/>
          <w:szCs w:val="24"/>
        </w:rPr>
      </w:pPr>
    </w:p>
    <w:p w:rsidR="00F67561" w:rsidRPr="00F67561" w:rsidP="00F54B63" w14:paraId="43504AA3" w14:textId="77777777">
      <w:pPr>
        <w:spacing w:line="360" w:lineRule="auto"/>
        <w:rPr>
          <w:sz w:val="24"/>
          <w:szCs w:val="24"/>
        </w:rPr>
      </w:pPr>
    </w:p>
    <w:p w:rsidR="007F6526" w:rsidP="00F13148" w14:paraId="50FFCE7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7F6526" w:rsidP="00F13148" w14:paraId="00A004D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F13148" w:rsidP="00F13148" w14:paraId="2BB5648D" w14:textId="1E45EA1C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REDAÇÃO </w:t>
      </w:r>
      <w:r w:rsidR="007F6526">
        <w:rPr>
          <w:rFonts w:ascii="Palatino Linotype" w:hAnsi="Palatino Linotype" w:cs="Arial"/>
          <w:b/>
          <w:sz w:val="24"/>
          <w:szCs w:val="24"/>
        </w:rPr>
        <w:t>REFERENTE AO VETO PARCIAL SOBRE O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PROJETO DE LEI </w:t>
      </w:r>
      <w:r w:rsidR="00253134">
        <w:rPr>
          <w:rFonts w:ascii="Palatino Linotype" w:hAnsi="Palatino Linotype" w:cs="Arial"/>
          <w:b/>
          <w:sz w:val="24"/>
          <w:szCs w:val="24"/>
        </w:rPr>
        <w:t>COMPLEMENTAR N° 14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BA1AE5" w:rsidP="00F13148" w14:paraId="58287EA8" w14:textId="734D9D17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</w:t>
      </w:r>
      <w:r w:rsidRPr="00F67561">
        <w:rPr>
          <w:rFonts w:ascii="Palatino Linotype" w:hAnsi="Palatino Linotype" w:cs="Arial"/>
          <w:b/>
          <w:sz w:val="24"/>
          <w:szCs w:val="24"/>
        </w:rPr>
        <w:t>PARECER F</w:t>
      </w:r>
      <w:r w:rsidRPr="00F67561" w:rsidR="007F6526">
        <w:rPr>
          <w:rFonts w:ascii="Palatino Linotype" w:hAnsi="Palatino Linotype" w:cs="Arial"/>
          <w:b/>
          <w:sz w:val="24"/>
          <w:szCs w:val="24"/>
        </w:rPr>
        <w:t>AVORÁVEL</w:t>
      </w:r>
      <w:r w:rsidR="007F6526">
        <w:rPr>
          <w:rFonts w:ascii="Palatino Linotype" w:hAnsi="Palatino Linotype" w:cs="Arial"/>
          <w:sz w:val="24"/>
          <w:szCs w:val="24"/>
        </w:rPr>
        <w:t xml:space="preserve"> à apreciação do veto parcial ao</w:t>
      </w:r>
      <w:r w:rsidR="005B5870">
        <w:rPr>
          <w:rFonts w:ascii="Palatino Linotype" w:hAnsi="Palatino Linotype" w:cs="Arial"/>
          <w:sz w:val="24"/>
          <w:szCs w:val="24"/>
        </w:rPr>
        <w:t xml:space="preserve"> Projeto de Lei </w:t>
      </w:r>
      <w:r w:rsidR="00253134">
        <w:rPr>
          <w:rFonts w:ascii="Palatino Linotype" w:hAnsi="Palatino Linotype" w:cs="Arial"/>
          <w:sz w:val="24"/>
          <w:szCs w:val="24"/>
        </w:rPr>
        <w:t>Complementar n° 14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7EA0F7D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53134">
        <w:rPr>
          <w:rFonts w:ascii="Palatino Linotype" w:hAnsi="Palatino Linotype" w:cs="Arial"/>
          <w:bCs/>
          <w:sz w:val="24"/>
          <w:szCs w:val="24"/>
        </w:rPr>
        <w:t>Comissões, 07 de outubro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BA1AE5" w:rsidP="00701397" w14:paraId="381FF975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7AE66CD4" w14:textId="7072B9A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253134">
        <w:rPr>
          <w:rFonts w:ascii="Palatino Linotype" w:hAnsi="Palatino Linotype" w:cs="Arial"/>
          <w:b/>
          <w:sz w:val="24"/>
          <w:szCs w:val="24"/>
          <w:u w:val="single"/>
        </w:rPr>
        <w:t>JOÃO VICTOR COUTINHO GASPARINI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B2C04C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P="00F13148" w14:paraId="2D93895A" w14:textId="37AEA5C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603CE4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8C125D" w:rsidP="007F6526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726125C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 w:rsidR="00F67561"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C6E49"/>
    <w:multiLevelType w:val="hybridMultilevel"/>
    <w:tmpl w:val="669CD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E49AD"/>
    <w:rsid w:val="000F1F6F"/>
    <w:rsid w:val="000F4933"/>
    <w:rsid w:val="00126AE5"/>
    <w:rsid w:val="0015590E"/>
    <w:rsid w:val="00173831"/>
    <w:rsid w:val="00177254"/>
    <w:rsid w:val="00181506"/>
    <w:rsid w:val="00187FC6"/>
    <w:rsid w:val="0019157D"/>
    <w:rsid w:val="00192536"/>
    <w:rsid w:val="001A23DA"/>
    <w:rsid w:val="001A3CE4"/>
    <w:rsid w:val="001B7303"/>
    <w:rsid w:val="0020165D"/>
    <w:rsid w:val="00213987"/>
    <w:rsid w:val="00227E2C"/>
    <w:rsid w:val="00234376"/>
    <w:rsid w:val="00253134"/>
    <w:rsid w:val="0027672A"/>
    <w:rsid w:val="00291486"/>
    <w:rsid w:val="00297379"/>
    <w:rsid w:val="002A2BD3"/>
    <w:rsid w:val="002B71AC"/>
    <w:rsid w:val="002F0B15"/>
    <w:rsid w:val="002F3157"/>
    <w:rsid w:val="003033DE"/>
    <w:rsid w:val="003121C8"/>
    <w:rsid w:val="00314B47"/>
    <w:rsid w:val="00316A22"/>
    <w:rsid w:val="00322469"/>
    <w:rsid w:val="00346786"/>
    <w:rsid w:val="00362E04"/>
    <w:rsid w:val="00371A69"/>
    <w:rsid w:val="0038129E"/>
    <w:rsid w:val="00381C00"/>
    <w:rsid w:val="003A5737"/>
    <w:rsid w:val="003A796B"/>
    <w:rsid w:val="003B1A59"/>
    <w:rsid w:val="003C6BCB"/>
    <w:rsid w:val="003D6D21"/>
    <w:rsid w:val="003F0B47"/>
    <w:rsid w:val="003F59C5"/>
    <w:rsid w:val="00405098"/>
    <w:rsid w:val="00446FA1"/>
    <w:rsid w:val="00456770"/>
    <w:rsid w:val="00464667"/>
    <w:rsid w:val="0049412D"/>
    <w:rsid w:val="00497A43"/>
    <w:rsid w:val="004B6FDF"/>
    <w:rsid w:val="004D46DA"/>
    <w:rsid w:val="004E6092"/>
    <w:rsid w:val="005242B1"/>
    <w:rsid w:val="00543E03"/>
    <w:rsid w:val="005559D9"/>
    <w:rsid w:val="0055728D"/>
    <w:rsid w:val="00571662"/>
    <w:rsid w:val="0057515A"/>
    <w:rsid w:val="00590AA1"/>
    <w:rsid w:val="0059215B"/>
    <w:rsid w:val="005935BC"/>
    <w:rsid w:val="005A235E"/>
    <w:rsid w:val="005B27A9"/>
    <w:rsid w:val="005B5870"/>
    <w:rsid w:val="005B766F"/>
    <w:rsid w:val="005D21C6"/>
    <w:rsid w:val="005D65D4"/>
    <w:rsid w:val="005E491E"/>
    <w:rsid w:val="005F2654"/>
    <w:rsid w:val="005F4E55"/>
    <w:rsid w:val="005F54DA"/>
    <w:rsid w:val="005F6956"/>
    <w:rsid w:val="00603CE4"/>
    <w:rsid w:val="00613747"/>
    <w:rsid w:val="00620972"/>
    <w:rsid w:val="00655A35"/>
    <w:rsid w:val="006575C7"/>
    <w:rsid w:val="00657B9A"/>
    <w:rsid w:val="00681CCF"/>
    <w:rsid w:val="006834FE"/>
    <w:rsid w:val="006975B4"/>
    <w:rsid w:val="00697874"/>
    <w:rsid w:val="006A54A9"/>
    <w:rsid w:val="006A762A"/>
    <w:rsid w:val="006C2150"/>
    <w:rsid w:val="006D1946"/>
    <w:rsid w:val="006E3A0E"/>
    <w:rsid w:val="006F48DD"/>
    <w:rsid w:val="00701397"/>
    <w:rsid w:val="007038AD"/>
    <w:rsid w:val="00746224"/>
    <w:rsid w:val="00753ABE"/>
    <w:rsid w:val="007556D8"/>
    <w:rsid w:val="0078178E"/>
    <w:rsid w:val="00784CD4"/>
    <w:rsid w:val="007850B0"/>
    <w:rsid w:val="00785E1B"/>
    <w:rsid w:val="007A08D1"/>
    <w:rsid w:val="007B6058"/>
    <w:rsid w:val="007C6029"/>
    <w:rsid w:val="007E1D67"/>
    <w:rsid w:val="007E2CFA"/>
    <w:rsid w:val="007F6526"/>
    <w:rsid w:val="00804434"/>
    <w:rsid w:val="0081335D"/>
    <w:rsid w:val="00827313"/>
    <w:rsid w:val="00842408"/>
    <w:rsid w:val="00855DD2"/>
    <w:rsid w:val="00863D24"/>
    <w:rsid w:val="00864928"/>
    <w:rsid w:val="00881E60"/>
    <w:rsid w:val="008905C2"/>
    <w:rsid w:val="008A3797"/>
    <w:rsid w:val="008A537A"/>
    <w:rsid w:val="008B0AE0"/>
    <w:rsid w:val="008C08C5"/>
    <w:rsid w:val="008C125D"/>
    <w:rsid w:val="008C4AA2"/>
    <w:rsid w:val="008E1495"/>
    <w:rsid w:val="008F22BF"/>
    <w:rsid w:val="00901B59"/>
    <w:rsid w:val="00902EE1"/>
    <w:rsid w:val="009048A2"/>
    <w:rsid w:val="00904ADF"/>
    <w:rsid w:val="00914ADC"/>
    <w:rsid w:val="00920A3F"/>
    <w:rsid w:val="00925E1A"/>
    <w:rsid w:val="0098102A"/>
    <w:rsid w:val="00996280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40FAA"/>
    <w:rsid w:val="00B51F99"/>
    <w:rsid w:val="00B57090"/>
    <w:rsid w:val="00BA1AE5"/>
    <w:rsid w:val="00BA48C7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C3E72"/>
    <w:rsid w:val="00CF288D"/>
    <w:rsid w:val="00D17E31"/>
    <w:rsid w:val="00D233F3"/>
    <w:rsid w:val="00D2616B"/>
    <w:rsid w:val="00D33D19"/>
    <w:rsid w:val="00D52DAE"/>
    <w:rsid w:val="00D543E6"/>
    <w:rsid w:val="00D55283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D31B9"/>
    <w:rsid w:val="00DE2A9A"/>
    <w:rsid w:val="00DF605F"/>
    <w:rsid w:val="00E11ECC"/>
    <w:rsid w:val="00E17B64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7B20"/>
    <w:rsid w:val="00F10F57"/>
    <w:rsid w:val="00F11A8E"/>
    <w:rsid w:val="00F13148"/>
    <w:rsid w:val="00F21F60"/>
    <w:rsid w:val="00F304D4"/>
    <w:rsid w:val="00F40276"/>
    <w:rsid w:val="00F42F8D"/>
    <w:rsid w:val="00F52A2A"/>
    <w:rsid w:val="00F54B63"/>
    <w:rsid w:val="00F55E24"/>
    <w:rsid w:val="00F6470D"/>
    <w:rsid w:val="00F67561"/>
    <w:rsid w:val="00F733EC"/>
    <w:rsid w:val="00F74441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texto20">
    <w:name w:val="texto20"/>
    <w:basedOn w:val="Normal"/>
    <w:rsid w:val="00B51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2025-10-10T17:05:00Z</cp:lastPrinted>
  <dcterms:created xsi:type="dcterms:W3CDTF">2025-10-10T17:33:00Z</dcterms:created>
  <dcterms:modified xsi:type="dcterms:W3CDTF">2025-10-10T17:33:00Z</dcterms:modified>
</cp:coreProperties>
</file>