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50E580E7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3F580C">
        <w:rPr>
          <w:rStyle w:val="Strong"/>
        </w:rPr>
        <w:t>COMPLEMENTAR Nº 20</w:t>
      </w:r>
      <w:r w:rsidRPr="002A0A87" w:rsidR="00F74441">
        <w:rPr>
          <w:rStyle w:val="Strong"/>
        </w:rPr>
        <w:t xml:space="preserve"> DE 2025</w:t>
      </w:r>
      <w:r w:rsidR="00595E79">
        <w:rPr>
          <w:rStyle w:val="Strong"/>
        </w:rPr>
        <w:t xml:space="preserve"> – Mesa Diretora da Câmara Municipal.</w:t>
      </w:r>
    </w:p>
    <w:p w:rsidR="00F74441" w:rsidRPr="002A0A87" w:rsidP="003F580C" w14:paraId="4DE9CBF8" w14:textId="2D438476">
      <w:pPr>
        <w:pStyle w:val="NormalWeb"/>
        <w:spacing w:line="360" w:lineRule="auto"/>
        <w:jc w:val="both"/>
        <w:rPr>
          <w:b/>
          <w:bCs/>
        </w:rPr>
      </w:pPr>
      <w:r w:rsidRPr="002A0A87">
        <w:rPr>
          <w:rStyle w:val="Emphasis"/>
        </w:rPr>
        <w:t xml:space="preserve">Dispõe </w:t>
      </w:r>
      <w:r w:rsidR="00595E79">
        <w:rPr>
          <w:rStyle w:val="Emphasis"/>
        </w:rPr>
        <w:t xml:space="preserve">sobre a criação </w:t>
      </w:r>
      <w:r w:rsidR="003F580C">
        <w:rPr>
          <w:rStyle w:val="Emphasis"/>
        </w:rPr>
        <w:t xml:space="preserve">do cargo em Comissão de Assessor de Desenvolvimento de Sistemas no âmbito da Câmara Municipal de Mogi Mirim. </w:t>
      </w:r>
    </w:p>
    <w:p w:rsidR="00F74441" w:rsidRPr="002A0A87" w:rsidP="003D6D21" w14:paraId="1D42C3C2" w14:textId="08016D90">
      <w:pPr>
        <w:pStyle w:val="NormalWeb"/>
        <w:spacing w:line="360" w:lineRule="auto"/>
      </w:pPr>
      <w:r w:rsidRPr="002A0A87">
        <w:rPr>
          <w:rStyle w:val="Strong"/>
        </w:rPr>
        <w:t xml:space="preserve">RELATOR: </w:t>
      </w:r>
      <w:r w:rsidR="003F580C">
        <w:rPr>
          <w:rStyle w:val="Strong"/>
        </w:rPr>
        <w:t>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62DDE0FE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3F580C">
        <w:t xml:space="preserve"> Complementar nº 20</w:t>
      </w:r>
      <w:r w:rsidR="00595E79">
        <w:t xml:space="preserve"> de 2025, de autoria da Mesa Diretora da Câmara</w:t>
      </w:r>
      <w:r w:rsidR="001C2A28">
        <w:t xml:space="preserve"> Municipal de Mogi Mirim</w:t>
      </w:r>
      <w:r w:rsidRPr="002A0A87" w:rsidR="005D21C6">
        <w:t xml:space="preserve">, tem por objetivo </w:t>
      </w:r>
      <w:r w:rsidR="001C2A28">
        <w:rPr>
          <w:rStyle w:val="Strong"/>
          <w:i/>
        </w:rPr>
        <w:t xml:space="preserve">a criação </w:t>
      </w:r>
      <w:r w:rsidR="003F580C">
        <w:rPr>
          <w:rStyle w:val="Strong"/>
          <w:i/>
        </w:rPr>
        <w:t xml:space="preserve">do Cargo em comissão de Assessor de Desenvolvimento de Sistemas, </w:t>
      </w:r>
      <w:r w:rsidR="003F580C">
        <w:rPr>
          <w:rStyle w:val="Strong"/>
          <w:b w:val="0"/>
          <w:i/>
        </w:rPr>
        <w:t>no Quadro de Pessoal da Câmara Municipal.</w:t>
      </w:r>
      <w:r w:rsidR="003F580C">
        <w:rPr>
          <w:rStyle w:val="Strong"/>
          <w:i/>
        </w:rPr>
        <w:t xml:space="preserve"> </w:t>
      </w:r>
    </w:p>
    <w:p w:rsidR="00AD416D" w:rsidP="005B27A9" w14:paraId="0863A95E" w14:textId="287C2379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>
        <w:t xml:space="preserve">dispõe </w:t>
      </w:r>
      <w:r w:rsidR="003F580C">
        <w:t xml:space="preserve">sobre a criação do cargo em comissão de Assessor de Desenvolvimento de Sistemas, referência 44, com atribuições e requisitos definidos na própria Lei. </w:t>
      </w:r>
    </w:p>
    <w:p w:rsidR="00D85714" w:rsidRPr="002A0A87" w:rsidP="005B27A9" w14:paraId="7FD6478C" w14:textId="04566917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DD4E12">
        <w:t>elenca as atribuições do cargo, que envolvem a coordenação e supervisão da equipe de desenvolvimento e manutenção de sistemas, participação no planejamento estratégico e tático da área de Tecnologia da Informação, análise e proposição de soluções tecnológicas, gerenciamento de projetos de software, elaboração de relatórios técnicos e atuação como ponto focal técnico em projetos de alta complexidade.</w:t>
      </w:r>
    </w:p>
    <w:p w:rsidR="00D85714" w:rsidP="005B27A9" w14:paraId="720ABE81" w14:textId="4A4F075C">
      <w:pPr>
        <w:pStyle w:val="NormalWeb"/>
        <w:spacing w:line="360" w:lineRule="auto"/>
        <w:ind w:firstLine="720"/>
        <w:jc w:val="both"/>
      </w:pPr>
      <w:r>
        <w:t>O</w:t>
      </w:r>
      <w:r w:rsidR="00AD416D">
        <w:t xml:space="preserve"> </w:t>
      </w:r>
      <w:r w:rsidRPr="002A0A87">
        <w:t xml:space="preserve">artigo 3° </w:t>
      </w:r>
      <w:r w:rsidR="00AD416D">
        <w:t>estab</w:t>
      </w:r>
      <w:r>
        <w:t xml:space="preserve">elece os requisitos para a nomeação ao cargo, exigindo graduação em curso superior na área de Tecnologia da Informação ou correlatas, experiência mínima de dois anos em desenvolvimento ou gestão de sistemas e habilidade comprovada em gestão de equipes e projetos. </w:t>
      </w:r>
    </w:p>
    <w:p w:rsidR="00DD4E12" w:rsidP="005B27A9" w14:paraId="54DA21AC" w14:textId="78FDF130">
      <w:pPr>
        <w:pStyle w:val="NormalWeb"/>
        <w:spacing w:line="360" w:lineRule="auto"/>
        <w:ind w:firstLine="720"/>
        <w:jc w:val="both"/>
      </w:pPr>
      <w:r>
        <w:t xml:space="preserve">O artigo 4° determina que as despesas decorrentes da execução da Lei correrão por conta de dotações orçamentárias próprias, suplementadas se necessário, observando a legislação orçamentária vigente. </w:t>
      </w:r>
    </w:p>
    <w:p w:rsidR="00DD4E12" w:rsidP="005B27A9" w14:paraId="411AB7E6" w14:textId="466CF24A">
      <w:pPr>
        <w:pStyle w:val="NormalWeb"/>
        <w:spacing w:line="360" w:lineRule="auto"/>
        <w:ind w:firstLine="720"/>
        <w:jc w:val="both"/>
      </w:pPr>
      <w:r>
        <w:t>Por fim, o artigo 5° dispõe que a Lei entrará em vigor na data de sua publicação</w:t>
      </w:r>
      <w:r w:rsidR="00342EA1">
        <w:t xml:space="preserve">. </w:t>
      </w:r>
    </w:p>
    <w:p w:rsidR="00382F0D" w:rsidRPr="002A0A87" w:rsidP="00342EA1" w14:paraId="699A1864" w14:textId="7FDD8388">
      <w:pPr>
        <w:pStyle w:val="NormalWeb"/>
        <w:spacing w:line="360" w:lineRule="auto"/>
        <w:ind w:firstLine="720"/>
        <w:jc w:val="both"/>
      </w:pPr>
      <w:r>
        <w:t xml:space="preserve">Em justificativa </w:t>
      </w:r>
      <w:r w:rsidR="00312103">
        <w:t xml:space="preserve">apresentada pela Mesa Diretora, </w:t>
      </w:r>
      <w:r w:rsidR="00342EA1">
        <w:t xml:space="preserve">explica que a criação do cargo decorre da crescente demanda por soluções tecnológicas eficientes na Câmara Municipal. A medida visa suprir a necessidade de uma liderança técnica e estratégica na área de Tecnologia da Informação, considerando a possibilidade de desligamento do único servidor efetivo atualmente responsável pela manutenção dos sistemas.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08302F26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382F0D">
        <w:t xml:space="preserve"> Complementar nº </w:t>
      </w:r>
      <w:r w:rsidR="00342EA1">
        <w:t xml:space="preserve">20 </w:t>
      </w:r>
      <w:r w:rsidRPr="002A0A87">
        <w:t xml:space="preserve">de 2025 </w:t>
      </w:r>
      <w:r w:rsidR="00382F0D">
        <w:t>de autoria da Mesa Diretora,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787BDF" w:rsidP="00787BDF" w14:paraId="7CF230B8" w14:textId="7D51D2E7">
      <w:pPr>
        <w:pStyle w:val="NormalWeb"/>
        <w:spacing w:line="360" w:lineRule="auto"/>
        <w:ind w:firstLine="720"/>
        <w:jc w:val="both"/>
      </w:pPr>
      <w:r>
        <w:t xml:space="preserve">A competência legislativa e a iniciativa da proposição encontram respaldo no art. </w:t>
      </w:r>
      <w:r>
        <w:t>32, inciso V e 49, parágrafo único, inciso XII, da Lei Orgânica do Município e art. 9, inciso II, do Regimento Interno, que atribuem à Câmara Municipal a prerrogativa de dispor sobre a sua organização interna, estrutura administrativa e sobre a criação, transformação ou extinção de cargos, funções ou empregos públicos, bem como de fixar-lhes a</w:t>
      </w:r>
      <w:r w:rsidR="00A32282">
        <w:t>s</w:t>
      </w:r>
      <w:r>
        <w:t xml:space="preserve"> respectivas remunerações. A </w:t>
      </w:r>
      <w:r w:rsidR="006C0A02">
        <w:t>iniciativa da Mesa Diretora é, portanto, formalmente legítima e adequada, uma vez que compete a esse órgão a apresentação de projetos relacionados ao quadro de servidores do Poder Legislativo, conforme também previsto no artigo 18, inciso I, alínea “i”, e inciso IV, alínea “g”, do Regimento Interno (Resolução n° 276/2010).</w:t>
      </w:r>
    </w:p>
    <w:p w:rsidR="00235385" w:rsidP="00787BDF" w14:paraId="40C8B7AB" w14:textId="3B7F8E5E">
      <w:pPr>
        <w:pStyle w:val="NormalWeb"/>
        <w:spacing w:line="360" w:lineRule="auto"/>
        <w:ind w:firstLine="720"/>
        <w:jc w:val="both"/>
      </w:pPr>
      <w:r>
        <w:t>No tocante ao mérito jurídico, o projeto cumpre as ex</w:t>
      </w:r>
      <w:r w:rsidR="00342EA1">
        <w:t>igências do artigo 37</w:t>
      </w:r>
      <w:r>
        <w:t>, da Constituição Federal, que consagra os princípios da legalidade, impessoalidade, morali</w:t>
      </w:r>
      <w:r w:rsidR="0086681C">
        <w:t xml:space="preserve">dade, publicidade e eficiência, que norteiam toda a atuação da gestão pública. </w:t>
      </w:r>
    </w:p>
    <w:p w:rsidR="0086681C" w:rsidP="00AC2AB2" w14:paraId="56E43599" w14:textId="1F34AA93">
      <w:pPr>
        <w:pStyle w:val="NormalWeb"/>
        <w:spacing w:line="360" w:lineRule="auto"/>
        <w:ind w:firstLine="720"/>
        <w:jc w:val="both"/>
      </w:pPr>
      <w:r>
        <w:t xml:space="preserve">O projeto também respeita o disposto no artigo 37, inciso V, da Constituição, que restringe a criação de cargos em comissão às funções de direção, chefia e assessoramento, vedando seu uso para atividades de natureza meramente técnica ou operacional. As atribuições descritas no artigo 2° da proposição trabalhada, voltadas à coordenação e supervisão de equipes, planejamento estratégico, gestão de projetos e assessoramento técnico de alto nível, que se enquadram precisamente nas funções de assessoramento e direção, legitimando sua criação sob a natureza comissionada. </w:t>
      </w:r>
    </w:p>
    <w:p w:rsidR="00235385" w:rsidP="00787BDF" w14:paraId="20E22679" w14:textId="55541079">
      <w:pPr>
        <w:pStyle w:val="NormalWeb"/>
        <w:spacing w:line="360" w:lineRule="auto"/>
        <w:ind w:firstLine="720"/>
        <w:jc w:val="both"/>
      </w:pPr>
      <w:r>
        <w:t xml:space="preserve">Juntamente, encontra-se amparo na Lei Complementar n° 101/2000 (Lei de Responsabilidade Fiscal) e seus artigo 16 e 17, </w:t>
      </w:r>
      <w:r w:rsidR="00AC2AB2">
        <w:t xml:space="preserve">que condicionam a criação de cargos à estimativa de impacto orçamentário-financeiro e à demonstração de compatibilidade com o Plano Plurianual, a Lei de Diretrizes Orçamentárias e a Lei Orçamentária Anual. O texto da proposição explícita que as despesas correrão por conta de dotações próprias, suplementadas se necessário, assegurando que a medida não acarrete desequilíbrio fiscal. </w:t>
      </w:r>
    </w:p>
    <w:p w:rsidR="0017789C" w:rsidP="00787BDF" w14:paraId="2A167B3F" w14:textId="2DEB7AB6">
      <w:pPr>
        <w:pStyle w:val="NormalWeb"/>
        <w:spacing w:line="360" w:lineRule="auto"/>
        <w:ind w:firstLine="720"/>
        <w:jc w:val="both"/>
      </w:pPr>
      <w:r>
        <w:t xml:space="preserve">Portanto, a proposição revela-se compatível com o ordenamento municipal e federal, inexistindo qualquer afronta aos princípios constitucionais ou às normas que regem a Administração Pública. Visando atender uma necessidade concreta e legítima do Poder Legislativo, fortalecendo sua estrutura técnica e funcional, sem extrapolar os limites orçamentários e legais. </w:t>
      </w:r>
    </w:p>
    <w:p w:rsidR="007B2789" w:rsidRPr="002A0A87" w:rsidP="002A0A87" w14:paraId="1C73447A" w14:textId="7D56050E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AC2AB2">
        <w:t>rojeto de Lei Complementar n° 20</w:t>
      </w:r>
      <w:r w:rsidRPr="002A0A87">
        <w:t xml:space="preserve">/2025 </w:t>
      </w:r>
      <w:r w:rsidR="0017789C">
        <w:t>de autoria da Mesa Diretora,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17789C" w:rsidP="0017789C" w14:paraId="63F34853" w14:textId="046A8B78">
      <w:pPr>
        <w:pStyle w:val="NormalWeb"/>
        <w:spacing w:line="360" w:lineRule="auto"/>
        <w:jc w:val="both"/>
      </w:pPr>
      <w:r w:rsidRPr="002A0A87">
        <w:rPr>
          <w:b/>
        </w:rPr>
        <w:tab/>
      </w:r>
      <w:r>
        <w:t>Do ponto de vista da conveniência e oportunidade administrativa, o Pr</w:t>
      </w:r>
      <w:r w:rsidR="00AC2AB2">
        <w:t>ojeto de Lei Complementar n° 20</w:t>
      </w:r>
      <w:r w:rsidR="00D467B6">
        <w:t xml:space="preserve"> de </w:t>
      </w:r>
      <w:r>
        <w:t xml:space="preserve">2025 mostra-se adequado e necessário. </w:t>
      </w:r>
    </w:p>
    <w:p w:rsidR="00AC11D7" w:rsidP="0017789C" w14:paraId="4F0D3611" w14:textId="78A308A2">
      <w:pPr>
        <w:pStyle w:val="NormalWeb"/>
        <w:spacing w:line="360" w:lineRule="auto"/>
        <w:jc w:val="both"/>
      </w:pPr>
      <w:r>
        <w:tab/>
        <w:t>A proposta visa suprir lacunas no quadro funcional d</w:t>
      </w:r>
      <w:r w:rsidR="00AC2AB2">
        <w:t xml:space="preserve">a Câmara Municipal, decorrente da necessidade de garantir continuidade, segurança e eficiência aos sistemas eletrônicos e de gestão interna do Legislativo. </w:t>
      </w:r>
      <w:r w:rsidR="004B36B4">
        <w:t xml:space="preserve">Atualmente, o setor conta com o número reduzido de servidores efetivos, e há a possibilidade iminente de desligamento do único servidor que exerce as </w:t>
      </w:r>
      <w:r w:rsidR="004B36B4">
        <w:t xml:space="preserve">atividades de desenvolvimento e manutenção de sistemas, o que poderia comprometer o funcionamento regular da infraestrutura tecnológica. </w:t>
      </w:r>
    </w:p>
    <w:p w:rsidR="00AC11D7" w:rsidP="0017789C" w14:paraId="01DF1A50" w14:textId="722CBDC8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 </w:t>
      </w:r>
      <w:r w:rsidR="00421623">
        <w:rPr>
          <w:rStyle w:val="Strong"/>
          <w:b w:val="0"/>
        </w:rPr>
        <w:t xml:space="preserve">Diante desse cenário, a criação do cargo em comissão de Assessor de Desenvolvimento de Sistemas mostra-se estrategicamente oportuna, pois assegura a presença de uma liderança técnica e de assessoramento especializado, capaz de coordenar equipes, planejar soluções tecnológicas, supervisionar projetos de software e garantir a estabilidade e a evolução dos sistemas digitais da Câmara. </w:t>
      </w:r>
    </w:p>
    <w:p w:rsidR="00AC11D7" w:rsidP="0017789C" w14:paraId="1A3531CD" w14:textId="51054450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Ressalta que as novas despesas foram planejadas considerando os limites da Lei de Responsabilidade Fiscal e as dotações orçamentárias disponíveis, sem gerar impacto adicional relevante às despesas com o pessoal, mostrando compatibilidade financeira e orçamentária, requisito indispensável para a sua aprovação. </w:t>
      </w:r>
      <w:r w:rsidR="00421623">
        <w:rPr>
          <w:rStyle w:val="Strong"/>
          <w:b w:val="0"/>
        </w:rPr>
        <w:t xml:space="preserve">De natureza comissionada, estando de acordo com as funções de direção e assessoramento. </w:t>
      </w:r>
    </w:p>
    <w:p w:rsidR="00BB410F" w:rsidRPr="00B56BBF" w:rsidP="00BB410F" w14:paraId="6871DCF6" w14:textId="650F63C6">
      <w:pPr>
        <w:pStyle w:val="NormalWeb"/>
        <w:spacing w:line="360" w:lineRule="auto"/>
        <w:ind w:firstLine="720"/>
        <w:jc w:val="both"/>
      </w:pPr>
      <w:r>
        <w:t xml:space="preserve">Portanto, o Projeto de Lei Complementar n° 20 de 2025 é conveniente e oportuno, pois atende a uma necessidade concreta da administração da Câmara Municipal, fortalece sua estrutura técnica, moderniza sua gestão tecnológica e assegura a continuidade e eficiência dos serviços prestados à população. 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248CB844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73902F0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B22DA8">
        <w:t xml:space="preserve"> n</w:t>
      </w:r>
      <w:r w:rsidR="00E97358">
        <w:t>º 20</w:t>
      </w:r>
      <w:r w:rsidRPr="002A0A87">
        <w:t xml:space="preserve"> de 2025, </w:t>
      </w:r>
      <w:r w:rsidR="00E9735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B56BBF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3459EC95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200C12">
        <w:rPr>
          <w:rStyle w:val="Strong"/>
        </w:rPr>
        <w:t>O RÓTTOLI”, em 23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14C6F0C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P="00DC32F0" w14:paraId="749C5677" w14:textId="667F0C1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F877CF">
        <w:rPr>
          <w:rStyle w:val="Strong"/>
        </w:rPr>
        <w:t>, Art. 32, V, Art. 49, XII</w:t>
      </w:r>
      <w:r>
        <w:rPr>
          <w:rStyle w:val="Strong"/>
        </w:rPr>
        <w:t xml:space="preserve">: </w:t>
      </w:r>
      <w:r w:rsidR="00F877CF">
        <w:t>atribuem à Câmara Municipal a competência de dispor sobre a sua organização interna, estrutura administrativa e sobre a criação, transformação ou extinção de cargos, funções ou empregos públicos, bem como de fixar-lhes a respectivas remunerações.</w:t>
      </w:r>
    </w:p>
    <w:p w:rsidR="00F877CF" w:rsidRPr="00C8480D" w:rsidP="00DC32F0" w14:paraId="3300CA2B" w14:textId="679ABF1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Regimento Interno da Câmara Municipal de Mogi Mirim (Resolução n° 276/2010), Art. 9 e Art. 18, inciso I, alínea “i”</w:t>
      </w:r>
      <w:r w:rsidR="00290407">
        <w:rPr>
          <w:rStyle w:val="Strong"/>
        </w:rPr>
        <w:t xml:space="preserve">, inciso IV, alínea “g”: </w:t>
      </w:r>
      <w:r w:rsidR="00290407">
        <w:rPr>
          <w:rStyle w:val="Strong"/>
          <w:b w:val="0"/>
        </w:rPr>
        <w:t xml:space="preserve">estabelece como competência </w:t>
      </w:r>
      <w:r w:rsidR="00290407">
        <w:rPr>
          <w:rStyle w:val="Strong"/>
          <w:b w:val="0"/>
        </w:rPr>
        <w:t>da</w:t>
      </w:r>
      <w:r w:rsidR="00290407">
        <w:rPr>
          <w:rStyle w:val="Strong"/>
          <w:b w:val="0"/>
        </w:rPr>
        <w:t xml:space="preserve"> Mesa Diretora propor projetos de lei que disponham sobre a criação, transformação ou extinção de cargos funções ou empregos da Câmara Municipal. </w:t>
      </w:r>
    </w:p>
    <w:p w:rsidR="00D95652" w:rsidP="00D95652" w14:paraId="59B2AE12" w14:textId="4599AEC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E3D67">
        <w:rPr>
          <w:rStyle w:val="Strong"/>
          <w:bCs w:val="0"/>
        </w:rPr>
        <w:t>37,</w:t>
      </w:r>
      <w:r w:rsidR="00F877CF">
        <w:rPr>
          <w:rStyle w:val="Strong"/>
          <w:bCs w:val="0"/>
        </w:rPr>
        <w:t xml:space="preserve"> caput,</w:t>
      </w:r>
      <w:r w:rsidRPr="007E3D67">
        <w:rPr>
          <w:rStyle w:val="Strong"/>
          <w:bCs w:val="0"/>
        </w:rPr>
        <w:t xml:space="preserve"> inciso</w:t>
      </w:r>
      <w:r w:rsidR="00F877CF">
        <w:rPr>
          <w:rStyle w:val="Strong"/>
          <w:bCs w:val="0"/>
        </w:rPr>
        <w:t>s II e</w:t>
      </w:r>
      <w:r w:rsidR="00C8480D">
        <w:rPr>
          <w:rStyle w:val="Strong"/>
          <w:bCs w:val="0"/>
        </w:rPr>
        <w:t xml:space="preserve"> V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="00F877CF">
        <w:rPr>
          <w:rStyle w:val="Strong"/>
          <w:b w:val="0"/>
          <w:bCs w:val="0"/>
        </w:rPr>
        <w:t xml:space="preserve">dispõe sobre os princípios da Administração Pública e sobre a obrigatoriedade do concurso público para provimento de cargos e empregos efetivos e das restrições </w:t>
      </w:r>
      <w:r w:rsidR="00290407">
        <w:rPr>
          <w:rStyle w:val="Strong"/>
          <w:b w:val="0"/>
          <w:bCs w:val="0"/>
        </w:rPr>
        <w:t>aos cargos</w:t>
      </w:r>
      <w:r w:rsidR="00F877CF">
        <w:rPr>
          <w:rStyle w:val="Strong"/>
          <w:b w:val="0"/>
          <w:bCs w:val="0"/>
        </w:rPr>
        <w:t xml:space="preserve"> em comissão.</w:t>
      </w:r>
    </w:p>
    <w:p w:rsidR="00B65347" w:rsidP="00B65347" w14:paraId="4EBBB752" w14:textId="6BDE82F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  <w:bCs w:val="0"/>
        </w:rPr>
        <w:t>Lei Complementar n° 101/2000</w:t>
      </w:r>
      <w:r w:rsidR="005F4C80">
        <w:rPr>
          <w:rStyle w:val="Strong"/>
          <w:bCs w:val="0"/>
        </w:rPr>
        <w:t xml:space="preserve"> (Lei de Responsabilidade Fiscal), Art. 16 e Art. 17: </w:t>
      </w:r>
      <w:r w:rsidR="005F4C80">
        <w:rPr>
          <w:rStyle w:val="Strong"/>
          <w:b w:val="0"/>
          <w:bCs w:val="0"/>
        </w:rPr>
        <w:t xml:space="preserve">condicionam a criação de cargos, empregos ou funções à estimativa de impacto orçamentário-financeiro e à demonstração de compatibilidade com o Plano Plurianual, a LDO e a LOA. </w:t>
      </w:r>
    </w:p>
    <w:p w:rsidR="00B65347" w:rsidRPr="002A0A87" w:rsidP="00B65347" w14:paraId="365516DA" w14:textId="3AD52559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22F5E85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963121">
        <w:rPr>
          <w:rFonts w:ascii="Palatino Linotype" w:hAnsi="Palatino Linotype" w:cs="Arial"/>
          <w:b/>
          <w:sz w:val="24"/>
          <w:szCs w:val="24"/>
        </w:rPr>
        <w:t>COMPLE</w:t>
      </w:r>
      <w:r w:rsidR="00E97358">
        <w:rPr>
          <w:rFonts w:ascii="Palatino Linotype" w:hAnsi="Palatino Linotype" w:cs="Arial"/>
          <w:b/>
          <w:sz w:val="24"/>
          <w:szCs w:val="24"/>
        </w:rPr>
        <w:t>MENTAR N° 20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963121">
        <w:rPr>
          <w:rFonts w:ascii="Palatino Linotype" w:hAnsi="Palatino Linotype" w:cs="Arial"/>
          <w:b/>
          <w:sz w:val="24"/>
          <w:szCs w:val="24"/>
        </w:rPr>
        <w:t>DA MESA DIRETORA.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18BE2847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E97358">
        <w:rPr>
          <w:rFonts w:ascii="Palatino Linotype" w:hAnsi="Palatino Linotype" w:cs="Arial"/>
          <w:sz w:val="24"/>
          <w:szCs w:val="24"/>
        </w:rPr>
        <w:t xml:space="preserve">Complementar n° 20 </w:t>
      </w:r>
      <w:r w:rsidRPr="002A0A87">
        <w:rPr>
          <w:rFonts w:ascii="Palatino Linotype" w:hAnsi="Palatino Linotype" w:cs="Arial"/>
          <w:sz w:val="24"/>
          <w:szCs w:val="24"/>
        </w:rPr>
        <w:t>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05D8A23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00C12">
        <w:rPr>
          <w:rFonts w:ascii="Palatino Linotype" w:hAnsi="Palatino Linotype" w:cs="Arial"/>
          <w:bCs/>
          <w:sz w:val="24"/>
          <w:szCs w:val="24"/>
        </w:rPr>
        <w:t>Comissões, 23</w:t>
      </w:r>
      <w:bookmarkStart w:id="0" w:name="_GoBack"/>
      <w:bookmarkEnd w:id="0"/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159AEB43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B7C160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  <w:r w:rsidR="00E97358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1683E3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rPr>
        <w:rFonts w:ascii="Bookman Old Style" w:eastAsia="Arial" w:hAnsi="Bookman Old Style" w:cs="Arial"/>
        <w:b/>
        <w:color w:val="000000"/>
        <w:sz w:val="24"/>
        <w:szCs w:val="24"/>
      </w:rPr>
      <w:t>Comissão de Justiça e Redação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10B2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E2CEC"/>
    <w:rsid w:val="00200C12"/>
    <w:rsid w:val="0020165D"/>
    <w:rsid w:val="00213987"/>
    <w:rsid w:val="00227E2C"/>
    <w:rsid w:val="00234376"/>
    <w:rsid w:val="00235385"/>
    <w:rsid w:val="002434FF"/>
    <w:rsid w:val="0025677C"/>
    <w:rsid w:val="0027672A"/>
    <w:rsid w:val="00290407"/>
    <w:rsid w:val="00291486"/>
    <w:rsid w:val="00297379"/>
    <w:rsid w:val="002A0A87"/>
    <w:rsid w:val="002A2BD3"/>
    <w:rsid w:val="002B71AC"/>
    <w:rsid w:val="002C46E0"/>
    <w:rsid w:val="002F3157"/>
    <w:rsid w:val="002F34B4"/>
    <w:rsid w:val="00301C69"/>
    <w:rsid w:val="00312103"/>
    <w:rsid w:val="003121C8"/>
    <w:rsid w:val="00314B47"/>
    <w:rsid w:val="00322469"/>
    <w:rsid w:val="00342EA1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6BCB"/>
    <w:rsid w:val="003D6D21"/>
    <w:rsid w:val="003F0B47"/>
    <w:rsid w:val="003F580C"/>
    <w:rsid w:val="003F59C5"/>
    <w:rsid w:val="003F5AED"/>
    <w:rsid w:val="00405098"/>
    <w:rsid w:val="004104BF"/>
    <w:rsid w:val="00421623"/>
    <w:rsid w:val="004278D5"/>
    <w:rsid w:val="00446FA1"/>
    <w:rsid w:val="00450272"/>
    <w:rsid w:val="00456770"/>
    <w:rsid w:val="00464667"/>
    <w:rsid w:val="00491C70"/>
    <w:rsid w:val="00497A43"/>
    <w:rsid w:val="004B1D43"/>
    <w:rsid w:val="004B36B4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0A02"/>
    <w:rsid w:val="006C2150"/>
    <w:rsid w:val="006D1946"/>
    <w:rsid w:val="006D3570"/>
    <w:rsid w:val="006E3A0E"/>
    <w:rsid w:val="006F48DD"/>
    <w:rsid w:val="00700836"/>
    <w:rsid w:val="007038AD"/>
    <w:rsid w:val="00725F41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26AD6"/>
    <w:rsid w:val="00842408"/>
    <w:rsid w:val="00855DD2"/>
    <w:rsid w:val="00863D24"/>
    <w:rsid w:val="00864928"/>
    <w:rsid w:val="0086681C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3121"/>
    <w:rsid w:val="009709EF"/>
    <w:rsid w:val="0098102A"/>
    <w:rsid w:val="00996280"/>
    <w:rsid w:val="00996888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56895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2AB2"/>
    <w:rsid w:val="00AC4214"/>
    <w:rsid w:val="00AD2770"/>
    <w:rsid w:val="00AD416D"/>
    <w:rsid w:val="00AD7982"/>
    <w:rsid w:val="00AE3F8F"/>
    <w:rsid w:val="00AE5858"/>
    <w:rsid w:val="00AF0C05"/>
    <w:rsid w:val="00AF3296"/>
    <w:rsid w:val="00AF4AC7"/>
    <w:rsid w:val="00B02DD1"/>
    <w:rsid w:val="00B22DA8"/>
    <w:rsid w:val="00B56BBF"/>
    <w:rsid w:val="00B57090"/>
    <w:rsid w:val="00B64D61"/>
    <w:rsid w:val="00B65347"/>
    <w:rsid w:val="00B909E6"/>
    <w:rsid w:val="00BA48C7"/>
    <w:rsid w:val="00BB410F"/>
    <w:rsid w:val="00BD04BA"/>
    <w:rsid w:val="00BD2CA7"/>
    <w:rsid w:val="00BD597E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5D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068"/>
    <w:rsid w:val="00DC54F9"/>
    <w:rsid w:val="00DC6027"/>
    <w:rsid w:val="00DD4E12"/>
    <w:rsid w:val="00DE2A9A"/>
    <w:rsid w:val="00DF605F"/>
    <w:rsid w:val="00E115D2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97358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A65BC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2025-02-18T14:53:00Z</cp:lastPrinted>
  <dcterms:created xsi:type="dcterms:W3CDTF">2025-10-15T15:54:00Z</dcterms:created>
  <dcterms:modified xsi:type="dcterms:W3CDTF">2025-10-23T16:55:00Z</dcterms:modified>
</cp:coreProperties>
</file>