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4F0BF22C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B46214">
        <w:rPr>
          <w:rStyle w:val="Strong"/>
        </w:rPr>
        <w:t>COMPLEMENTAR Nº 22</w:t>
      </w:r>
      <w:r w:rsidRPr="002A0A87" w:rsidR="00F74441">
        <w:rPr>
          <w:rStyle w:val="Strong"/>
        </w:rPr>
        <w:t xml:space="preserve"> DE 2025</w:t>
      </w:r>
      <w:r w:rsidR="00595E79">
        <w:rPr>
          <w:rStyle w:val="Strong"/>
        </w:rPr>
        <w:t xml:space="preserve"> – Mesa Diretora da Câmara Municipal.</w:t>
      </w:r>
    </w:p>
    <w:p w:rsidR="00F74441" w:rsidRPr="002A0A87" w:rsidP="00AE52CD" w14:paraId="4DE9CBF8" w14:textId="00A772D6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Altera o art. 1° da Lei Complementar n° 366, de 12 de maio de 2023, para ampliar em duas vagas o número de cargos de Assessor Parlamentar, destinados exclusivamente à substituição de titulares afastados em razão de licença-maternidade ou afastamento médico superior a sessenta dias, e dá outras providências. 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0AA0D7FA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AE52CD">
        <w:t xml:space="preserve"> Complementar nº 22</w:t>
      </w:r>
      <w:r w:rsidR="00595E79">
        <w:t xml:space="preserve"> de 2025, de autoria da Mesa Diretora da Câmara</w:t>
      </w:r>
      <w:r w:rsidR="001C2A28">
        <w:t xml:space="preserve"> Municipal de Mogi Mirim</w:t>
      </w:r>
      <w:r w:rsidRPr="002A0A87" w:rsidR="005D21C6">
        <w:t xml:space="preserve">, tem por objetivo </w:t>
      </w:r>
      <w:r w:rsidR="00AE52CD">
        <w:rPr>
          <w:rStyle w:val="Strong"/>
          <w:i/>
        </w:rPr>
        <w:t xml:space="preserve">alterar </w:t>
      </w:r>
      <w:r w:rsidR="009D2523">
        <w:rPr>
          <w:rStyle w:val="Strong"/>
          <w:i/>
        </w:rPr>
        <w:t xml:space="preserve">o artigo </w:t>
      </w:r>
      <w:r w:rsidR="008358AB">
        <w:rPr>
          <w:rStyle w:val="Strong"/>
          <w:i/>
        </w:rPr>
        <w:t>1° da Lei Complementar n°366, de 12 de maio de 2023, para ampliar em duas vagas o número de cargos de Assessor Parlamentar, destinados exclusivamente à substituição de titulares afastados em razão de licença-maternidade ou afastamento médico superior a sessenta dias.</w:t>
      </w:r>
    </w:p>
    <w:p w:rsidR="00AD416D" w:rsidP="005B27A9" w14:paraId="0863A95E" w14:textId="63384D6E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8358AB">
        <w:t xml:space="preserve">da propositura redefine a redação do artigo 1° da Lei Complementar n° 366/2023, estabelecendo que o quadro de cargos em comissão da Câmara Municipal passa a ser composto por 18 (dezoito) vagas de Assessor Parlamentar, sendo uma destinada ao cargo de Chefe de Gabinete e uma ao cargo de Assessor Técnico da Presidência, mantendo-se as referências remuneratórias vigentes. </w:t>
      </w:r>
    </w:p>
    <w:p w:rsidR="00274CA1" w:rsidP="005B27A9" w14:paraId="01FF6CB3" w14:textId="00658792">
      <w:pPr>
        <w:pStyle w:val="NormalWeb"/>
        <w:spacing w:line="360" w:lineRule="auto"/>
        <w:ind w:firstLine="720"/>
        <w:jc w:val="both"/>
      </w:pPr>
      <w:r>
        <w:t>O §1° cria o acréscimo de duas vagas de livre nomeação e exoneração pela Mesa Diretora, limitadas às hipóteses de substituição temporária descritas no §2°, que dispõe que tais vagas somente poderão ser utilizadas durante afastamentos legais específicos</w:t>
      </w:r>
      <w:r w:rsidR="009D2523">
        <w:t xml:space="preserve">, ou seja, nos casos </w:t>
      </w:r>
      <w:r w:rsidR="009D2523">
        <w:t>de afastamento em razão de licença-maternidade ou afastamento médico com duração superior a 60 (sessenta) dias</w:t>
      </w:r>
      <w:r>
        <w:t>.</w:t>
      </w:r>
    </w:p>
    <w:p w:rsidR="00274CA1" w:rsidP="005B27A9" w14:paraId="112B896A" w14:textId="7E802D1C">
      <w:pPr>
        <w:pStyle w:val="NormalWeb"/>
        <w:spacing w:line="360" w:lineRule="auto"/>
        <w:ind w:firstLine="720"/>
        <w:jc w:val="both"/>
      </w:pPr>
      <w:r>
        <w:t xml:space="preserve">O §3° determina que, encerrado o afastamento que motivou a substituição, o servidor nomeado será exonerado e a vaga bloqueada até nova necessidade. </w:t>
      </w:r>
    </w:p>
    <w:p w:rsidR="00274CA1" w:rsidP="005B27A9" w14:paraId="164F915F" w14:textId="454B2238">
      <w:pPr>
        <w:pStyle w:val="NormalWeb"/>
        <w:spacing w:line="360" w:lineRule="auto"/>
        <w:ind w:firstLine="720"/>
        <w:jc w:val="both"/>
      </w:pPr>
      <w:r>
        <w:t xml:space="preserve">Por último, o §4° dispõe que a remuneração seguirá a legislação vigente aplicável aos cargos de mesma denominação. </w:t>
      </w:r>
    </w:p>
    <w:p w:rsidR="00D85714" w:rsidRPr="002A0A87" w:rsidP="005B27A9" w14:paraId="7FD6478C" w14:textId="580E6535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B74930">
        <w:t xml:space="preserve">estabelece que as despesas decorrentes da execução da Lei correrão </w:t>
      </w:r>
      <w:r w:rsidR="009D2523">
        <w:t>por conta das dotações orçamentá</w:t>
      </w:r>
      <w:r w:rsidR="00B74930">
        <w:t xml:space="preserve">rias próprias da Câmara Municipal, previstas no orçamento vigente. </w:t>
      </w:r>
    </w:p>
    <w:p w:rsidR="00D85714" w:rsidP="005B27A9" w14:paraId="720ABE81" w14:textId="45E95F5E">
      <w:pPr>
        <w:pStyle w:val="NormalWeb"/>
        <w:spacing w:line="360" w:lineRule="auto"/>
        <w:ind w:firstLine="720"/>
        <w:jc w:val="both"/>
      </w:pPr>
      <w:r>
        <w:t xml:space="preserve">Por fim, o </w:t>
      </w:r>
      <w:r w:rsidRPr="002A0A87">
        <w:t xml:space="preserve">artigo 3° </w:t>
      </w:r>
      <w:r>
        <w:t xml:space="preserve">estabelece que a lei entrará em vigor na data de sua publicação. </w:t>
      </w:r>
    </w:p>
    <w:p w:rsidR="00382F0D" w:rsidRPr="002A0A87" w:rsidP="00B74930" w14:paraId="699A1864" w14:textId="75D1224D">
      <w:pPr>
        <w:pStyle w:val="NormalWeb"/>
        <w:spacing w:line="360" w:lineRule="auto"/>
        <w:ind w:firstLine="720"/>
        <w:jc w:val="both"/>
      </w:pPr>
      <w:r>
        <w:t>A</w:t>
      </w:r>
      <w:r w:rsidR="00AE3F8F">
        <w:t xml:space="preserve"> justificativa </w:t>
      </w:r>
      <w:r w:rsidR="00312103">
        <w:t>ap</w:t>
      </w:r>
      <w:r w:rsidR="00B74930">
        <w:t>resen</w:t>
      </w:r>
      <w:r>
        <w:t>tada pela Mesa Diretora deixa claro</w:t>
      </w:r>
      <w:r w:rsidR="00B74930">
        <w:t xml:space="preserve"> que a ampliação de vagas não representa aumento perma</w:t>
      </w:r>
      <w:r w:rsidR="00F972F9">
        <w:t xml:space="preserve">nente do quadro de colaboradores, e sim uma </w:t>
      </w:r>
      <w:r w:rsidR="00B74930">
        <w:t>medida de caráter transitório e restrito, visando garantir a continuidade administrativa e legislativa em situações de afastamento de servidores</w:t>
      </w:r>
      <w:r w:rsidR="00B46214">
        <w:t xml:space="preserve">. A proposta está alinhada aos princípios de legalidade, eficiência, continuidade do serviço público e razoabilidade, assegurando o bom funcionamento das atividades do Legislativo sem impacto orçamentário adicional permanente.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4C33CE58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B46214">
        <w:t xml:space="preserve"> Complementar nº 22</w:t>
      </w:r>
      <w:r w:rsidRPr="002A0A87">
        <w:t xml:space="preserve"> de 2025 </w:t>
      </w:r>
      <w:r w:rsidR="00382F0D">
        <w:t>de autoria da Mesa Diretora,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787BDF" w:rsidP="00787BDF" w14:paraId="7CF230B8" w14:textId="0D699E34">
      <w:pPr>
        <w:pStyle w:val="NormalWeb"/>
        <w:spacing w:line="360" w:lineRule="auto"/>
        <w:ind w:firstLine="720"/>
        <w:jc w:val="both"/>
      </w:pPr>
      <w:r>
        <w:t>A competência legislativa e a iniciativa da propo</w:t>
      </w:r>
      <w:r w:rsidR="009D2523">
        <w:t>sição encontram respaldo no artigo</w:t>
      </w:r>
      <w:r>
        <w:t xml:space="preserve"> </w:t>
      </w:r>
      <w:r>
        <w:t xml:space="preserve">32, inciso V e 49, parágrafo único, inciso XII, da </w:t>
      </w:r>
      <w:r w:rsidR="009D2523">
        <w:t>Lei Orgânica do Município e artigo</w:t>
      </w:r>
      <w:r>
        <w:t xml:space="preserve"> 9</w:t>
      </w:r>
      <w:r w:rsidR="009D2523">
        <w:t>°</w:t>
      </w:r>
      <w:r>
        <w:t xml:space="preserve">, inciso II, do Regimento Interno, que atribuem à Câmara Municipal a prerrogativa de dispor sobre a sua organização interna, estrutura administrativa e sobre a criação, transformação ou extinção de </w:t>
      </w:r>
      <w:r>
        <w:t>cargos, funções ou empregos públicos, bem como de fixar-lhes a</w:t>
      </w:r>
      <w:r w:rsidR="00A32282">
        <w:t>s</w:t>
      </w:r>
      <w:r>
        <w:t xml:space="preserve"> respectivas remunerações. A </w:t>
      </w:r>
      <w:r w:rsidR="006C0A02">
        <w:t>iniciativa da Mesa Diretora é, portanto, formalmente legítima e adequada, uma vez que compete a esse órgão a apresentação de projetos relacionados ao quadro de s</w:t>
      </w:r>
      <w:r w:rsidR="009D2523">
        <w:t>ervidores do Poder Legislativo.</w:t>
      </w:r>
    </w:p>
    <w:p w:rsidR="007A2B84" w:rsidP="00787BDF" w14:paraId="2EA4CE87" w14:textId="0EE1503D">
      <w:pPr>
        <w:pStyle w:val="NormalWeb"/>
        <w:spacing w:line="360" w:lineRule="auto"/>
        <w:ind w:firstLine="720"/>
        <w:jc w:val="both"/>
      </w:pPr>
      <w:r>
        <w:t>A pr</w:t>
      </w:r>
      <w:r w:rsidR="009D2523">
        <w:t>oposta também encontra respaldo no artigo</w:t>
      </w:r>
      <w:r>
        <w:t xml:space="preserve"> 37, </w:t>
      </w:r>
      <w:r w:rsidRPr="009D2523">
        <w:rPr>
          <w:i/>
        </w:rPr>
        <w:t>caput</w:t>
      </w:r>
      <w:r>
        <w:t xml:space="preserve">, e incisos II e V, da Constituição, que estabelecem os princípios de legalidade, impessoalidade, moralidade, publicidade e eficiência que regem a Administração Pública e disciplinam a criação de cargos e empregos públicos, </w:t>
      </w:r>
      <w:r w:rsidR="00F972F9">
        <w:t>distinguindo-os entre</w:t>
      </w:r>
      <w:r>
        <w:t xml:space="preserve"> os de provimento efetivo e os em comissão. </w:t>
      </w:r>
    </w:p>
    <w:p w:rsidR="00235385" w:rsidP="00787BDF" w14:paraId="20E22679" w14:textId="505CF2B8">
      <w:pPr>
        <w:pStyle w:val="NormalWeb"/>
        <w:spacing w:line="360" w:lineRule="auto"/>
        <w:ind w:firstLine="720"/>
        <w:jc w:val="both"/>
      </w:pPr>
      <w:r>
        <w:t>Juntamente, encontra-se amparo na Lei Complementar n° 101/2000 (Lei de Responsabilidade Fiscal) e seus artigo</w:t>
      </w:r>
      <w:r w:rsidR="009D2523">
        <w:t>s</w:t>
      </w:r>
      <w:r>
        <w:t xml:space="preserve"> 16 e 17, reforçando que as despesas decorrentes da presente lei foram </w:t>
      </w:r>
      <w:r w:rsidR="0017789C">
        <w:t xml:space="preserve">inseridas </w:t>
      </w:r>
      <w:r>
        <w:t>dentro do orçamento vigent</w:t>
      </w:r>
      <w:r w:rsidR="009D2523">
        <w:t>e e previstas em ações orçamentá</w:t>
      </w:r>
      <w:r>
        <w:t>rias fut</w:t>
      </w:r>
      <w:r w:rsidR="0017789C">
        <w:t xml:space="preserve">uras, assegurando que não haverá impactos orçamentários em virtude do processo e contratação de novos servidores. </w:t>
      </w:r>
    </w:p>
    <w:p w:rsidR="00730F46" w:rsidP="00787BDF" w14:paraId="399D62EE" w14:textId="3315B925">
      <w:pPr>
        <w:pStyle w:val="NormalWeb"/>
        <w:spacing w:line="360" w:lineRule="auto"/>
        <w:ind w:firstLine="720"/>
        <w:jc w:val="both"/>
      </w:pPr>
      <w:r>
        <w:t xml:space="preserve">A proposição em análise </w:t>
      </w:r>
      <w:r w:rsidR="000255C2">
        <w:t>não cri</w:t>
      </w:r>
      <w:r w:rsidR="00F972F9">
        <w:t xml:space="preserve">a novas funções permanentes, </w:t>
      </w:r>
      <w:r w:rsidR="000255C2">
        <w:t>apenas amplia tempora</w:t>
      </w:r>
      <w:r w:rsidR="00BC3AFA">
        <w:t>riamente o número de vagas de</w:t>
      </w:r>
      <w:r w:rsidR="000255C2">
        <w:t xml:space="preserve"> cargo</w:t>
      </w:r>
      <w:r w:rsidR="00BC3AFA">
        <w:t>s</w:t>
      </w:r>
      <w:r w:rsidR="000255C2">
        <w:t xml:space="preserve"> comissionado</w:t>
      </w:r>
      <w:r w:rsidR="00BC3AFA">
        <w:t>s</w:t>
      </w:r>
      <w:r w:rsidR="000255C2">
        <w:t xml:space="preserve">, com finalidade exclusiva de </w:t>
      </w:r>
      <w:r w:rsidR="00BC3AFA">
        <w:t>substituição em situações especí</w:t>
      </w:r>
      <w:r w:rsidR="000255C2">
        <w:t>ficas e legalmente justificadas, como licença-maternidade e afastamento médico superior a 60 dias. Desta forma, não há afronta ao p</w:t>
      </w:r>
      <w:r w:rsidR="00962717">
        <w:t>rincípio de eficiência, uma vez</w:t>
      </w:r>
      <w:bookmarkStart w:id="0" w:name="_GoBack"/>
      <w:bookmarkEnd w:id="0"/>
      <w:r w:rsidR="000255C2">
        <w:t xml:space="preserve"> que apenas se trata de uma ampliação quantitativa de cargos já existentes, com o intuito de ser uma substituição temporária de titulares afastados nos casos previstos. </w:t>
      </w:r>
    </w:p>
    <w:p w:rsidR="0017789C" w:rsidP="00787BDF" w14:paraId="2A167B3F" w14:textId="316E2CB7">
      <w:pPr>
        <w:pStyle w:val="NormalWeb"/>
        <w:spacing w:line="360" w:lineRule="auto"/>
        <w:ind w:firstLine="720"/>
        <w:jc w:val="both"/>
      </w:pPr>
      <w:r>
        <w:t xml:space="preserve">Portanto, </w:t>
      </w:r>
      <w:r w:rsidR="003C0608">
        <w:t xml:space="preserve">cabe ressaltar que a alteração proposta não amplia a estrutura administrativa da Câmara Municipal, nem implica a criação de novas chefias ou atribuições. Trata-se, portanto, de uma medida técnica e pontual, voltada à continuidade e eficiência administrativa, em conformidade com o interesse público e com o princípio da razoabilidade. </w:t>
      </w:r>
    </w:p>
    <w:p w:rsidR="00F972F9" w:rsidRPr="002A0A87" w:rsidP="00F972F9" w14:paraId="541829D2" w14:textId="062F7526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3C0608">
        <w:t>rojeto de Lei Complementar n° 22</w:t>
      </w:r>
      <w:r w:rsidRPr="002A0A87">
        <w:t xml:space="preserve">/2025 </w:t>
      </w:r>
      <w:r w:rsidR="0017789C">
        <w:t>de autoria da Mesa Diretora,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972F9" w:rsidP="0017789C" w14:paraId="5E50A855" w14:textId="77777777">
      <w:pPr>
        <w:pStyle w:val="NormalWeb"/>
        <w:spacing w:line="360" w:lineRule="auto"/>
        <w:jc w:val="both"/>
        <w:rPr>
          <w:rStyle w:val="Strong"/>
          <w:bCs w:val="0"/>
        </w:rPr>
      </w:pPr>
      <w:r w:rsidRPr="002A0A87">
        <w:rPr>
          <w:rStyle w:val="Strong"/>
          <w:bCs w:val="0"/>
        </w:rPr>
        <w:tab/>
      </w:r>
    </w:p>
    <w:p w:rsidR="00F972F9" w:rsidP="0017789C" w14:paraId="32081F86" w14:textId="77777777">
      <w:pPr>
        <w:pStyle w:val="NormalWeb"/>
        <w:spacing w:line="360" w:lineRule="auto"/>
        <w:jc w:val="both"/>
        <w:rPr>
          <w:rStyle w:val="Strong"/>
          <w:bCs w:val="0"/>
        </w:rPr>
      </w:pPr>
    </w:p>
    <w:p w:rsidR="00B45DA1" w:rsidP="00F972F9" w14:paraId="0A242704" w14:textId="5756A516">
      <w:pPr>
        <w:pStyle w:val="NormalWeb"/>
        <w:spacing w:line="360" w:lineRule="auto"/>
        <w:ind w:firstLine="720"/>
        <w:jc w:val="both"/>
      </w:pPr>
      <w:r w:rsidRPr="002A0A87">
        <w:rPr>
          <w:rStyle w:val="Strong"/>
          <w:bCs w:val="0"/>
        </w:rPr>
        <w:t>b) Conveniência e Oportunidade</w:t>
      </w:r>
    </w:p>
    <w:p w:rsidR="0017789C" w:rsidP="00B45DA1" w14:paraId="63F34853" w14:textId="2075670F">
      <w:pPr>
        <w:pStyle w:val="NormalWeb"/>
        <w:spacing w:line="360" w:lineRule="auto"/>
        <w:ind w:firstLine="720"/>
        <w:jc w:val="both"/>
      </w:pPr>
      <w:r>
        <w:t xml:space="preserve">Do ponto de vista da </w:t>
      </w:r>
      <w:r>
        <w:t>conveniência e oportunidade administrativa, o Pr</w:t>
      </w:r>
      <w:r w:rsidR="003C0608">
        <w:t>ojeto de Lei Complementar n° 22</w:t>
      </w:r>
      <w:r w:rsidR="00D467B6">
        <w:t xml:space="preserve"> de </w:t>
      </w:r>
      <w:r>
        <w:t>2025 m</w:t>
      </w:r>
      <w:r w:rsidR="00B45DA1">
        <w:t>ostra-se adequado e necessário ao bom funcionamento da Câmara Municipal de Mogi Mirim.</w:t>
      </w:r>
    </w:p>
    <w:p w:rsidR="00AC11D7" w:rsidP="00B45DA1" w14:paraId="1A3531CD" w14:textId="2D97B7E8">
      <w:pPr>
        <w:pStyle w:val="NormalWeb"/>
        <w:spacing w:line="360" w:lineRule="auto"/>
        <w:jc w:val="both"/>
        <w:rPr>
          <w:rStyle w:val="Strong"/>
          <w:b w:val="0"/>
        </w:rPr>
      </w:pPr>
      <w:r>
        <w:tab/>
      </w:r>
      <w:r>
        <w:rPr>
          <w:rStyle w:val="Strong"/>
          <w:b w:val="0"/>
        </w:rPr>
        <w:t xml:space="preserve"> </w:t>
      </w:r>
      <w:r w:rsidR="00B45DA1">
        <w:rPr>
          <w:rStyle w:val="Strong"/>
          <w:b w:val="0"/>
        </w:rPr>
        <w:t>A proposição visa assegurar a continuidade dos serviços legislativos e administrativos, evitando prejuízos decorrentes de afastamentos legais de servidores comissionados, como licença-maternidade e afastamento médico prolongado, situações que, pela própria natureza, são imprevisíveis, mas recorrentes no setor público.</w:t>
      </w:r>
    </w:p>
    <w:p w:rsidR="00B45DA1" w:rsidP="00B45DA1" w14:paraId="4A6B0CA3" w14:textId="1C583519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A ampliação temporária de duas vagas para o cargo de Assessor Parlamentar, de uso exclusivo para a substituição de titulares afastados, constitui medida racional e equilibrada, que preserva a eficiência e a estabilidade institucional sem gerar aumento per</w:t>
      </w:r>
      <w:r w:rsidR="008E3052">
        <w:rPr>
          <w:rStyle w:val="Strong"/>
          <w:b w:val="0"/>
        </w:rPr>
        <w:t xml:space="preserve">manente de despesa com novos cargos. </w:t>
      </w:r>
    </w:p>
    <w:p w:rsidR="008E3052" w:rsidP="00B45DA1" w14:paraId="51F7FE56" w14:textId="2A3B0C7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Ressalta-se que o projeto não amplia o quadro estrutural da Câmara de forma definitiva, nem cria novos cargos de natureza diversa, apenas autoriza substituição temporária, com a vinculação expressa à ocorrênci</w:t>
      </w:r>
      <w:r w:rsidR="00871C88">
        <w:rPr>
          <w:rStyle w:val="Strong"/>
          <w:b w:val="0"/>
        </w:rPr>
        <w:t>a de afastamentos específicos, a</w:t>
      </w:r>
      <w:r>
        <w:rPr>
          <w:rStyle w:val="Strong"/>
          <w:b w:val="0"/>
        </w:rPr>
        <w:t>tendendo</w:t>
      </w:r>
      <w:r w:rsidR="00871C88">
        <w:rPr>
          <w:rStyle w:val="Strong"/>
          <w:b w:val="0"/>
        </w:rPr>
        <w:t>, assim,</w:t>
      </w:r>
      <w:r>
        <w:rPr>
          <w:rStyle w:val="Strong"/>
          <w:b w:val="0"/>
        </w:rPr>
        <w:t xml:space="preserve"> os princípios de eficiência, economicidade e continuidade do serviço público, em consonância com o interesse público. </w:t>
      </w:r>
    </w:p>
    <w:p w:rsidR="00BB410F" w:rsidRPr="00B56BBF" w:rsidP="00BB410F" w14:paraId="6871DCF6" w14:textId="2DC0E791">
      <w:pPr>
        <w:pStyle w:val="NormalWeb"/>
        <w:spacing w:line="360" w:lineRule="auto"/>
        <w:ind w:firstLine="720"/>
        <w:jc w:val="both"/>
      </w:pPr>
      <w:r>
        <w:t xml:space="preserve">Portanto, a </w:t>
      </w:r>
      <w:r w:rsidR="004B6AAD">
        <w:t xml:space="preserve">ampliação de vagas </w:t>
      </w:r>
      <w:r>
        <w:t xml:space="preserve">se revela conveniente, oportuna e coerente com o interesse público, por assegurar a continuidade e eficiência dos serviços internos da Câmara Municipal de Mogi Mirim. 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47341228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0E274BEE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B22DA8">
        <w:t xml:space="preserve"> n</w:t>
      </w:r>
      <w:r w:rsidR="004B6AAD">
        <w:t>º 22</w:t>
      </w:r>
      <w:r w:rsidRPr="002A0A87">
        <w:t xml:space="preserve"> de 2025, </w:t>
      </w:r>
      <w:r w:rsidR="004B6AAD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="00AC6E02">
        <w:rPr>
          <w:rStyle w:val="Strong"/>
        </w:rPr>
        <w:t xml:space="preserve"> </w:t>
      </w:r>
      <w:r w:rsidRPr="002A0A87" w:rsidR="003D6D21">
        <w:rPr>
          <w:rStyle w:val="Strong"/>
        </w:rPr>
        <w:t>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B56BBF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7FC112AE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871C88">
        <w:rPr>
          <w:rStyle w:val="Strong"/>
        </w:rPr>
        <w:t>O RÓTTOLI”, em 29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P="00DC32F0" w14:paraId="749C5677" w14:textId="667F0C1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F877CF">
        <w:rPr>
          <w:rStyle w:val="Strong"/>
        </w:rPr>
        <w:t>, Art. 32, V, Art. 49, XII</w:t>
      </w:r>
      <w:r>
        <w:rPr>
          <w:rStyle w:val="Strong"/>
        </w:rPr>
        <w:t xml:space="preserve">: </w:t>
      </w:r>
      <w:r w:rsidR="00F877CF">
        <w:t>atribuem à Câmara Municipal a competência de dispor sobre a sua organização interna, estrutura administrativa e sobre a criação, transformação ou extinção de cargos, funções ou empregos públicos, bem como de fixar-lhes a respectivas remunerações.</w:t>
      </w:r>
    </w:p>
    <w:p w:rsidR="00F877CF" w:rsidRPr="00871C88" w:rsidP="00871C88" w14:paraId="3300CA2B" w14:textId="2D881C8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Regimento Interno da Câmara Municipal de Mogi Mirim (Resolução n° 276/2010), Art. 9</w:t>
      </w:r>
      <w:r w:rsidR="00871C88">
        <w:rPr>
          <w:rStyle w:val="Strong"/>
        </w:rPr>
        <w:t>°</w:t>
      </w:r>
      <w:r w:rsidR="00290407">
        <w:rPr>
          <w:rStyle w:val="Strong"/>
        </w:rPr>
        <w:t xml:space="preserve">: </w:t>
      </w:r>
      <w:r w:rsidR="00290407">
        <w:rPr>
          <w:rStyle w:val="Strong"/>
          <w:b w:val="0"/>
        </w:rPr>
        <w:t xml:space="preserve">estabelece como competência </w:t>
      </w:r>
      <w:r w:rsidR="00871C88">
        <w:rPr>
          <w:rStyle w:val="Strong"/>
          <w:b w:val="0"/>
        </w:rPr>
        <w:t xml:space="preserve">privativa </w:t>
      </w:r>
      <w:r w:rsidR="00290407">
        <w:rPr>
          <w:rStyle w:val="Strong"/>
          <w:b w:val="0"/>
        </w:rPr>
        <w:t xml:space="preserve">da Mesa Diretora propor projetos de lei que </w:t>
      </w:r>
      <w:r w:rsidR="00871C88">
        <w:rPr>
          <w:rStyle w:val="Strong"/>
          <w:b w:val="0"/>
        </w:rPr>
        <w:t>disponham sobre a criação ou extinção de cargos nos serviços da Câmara, fixando os respectivos vencimentos.</w:t>
      </w:r>
      <w:r w:rsidR="00871C88">
        <w:rPr>
          <w:rStyle w:val="Strong"/>
          <w:b w:val="0"/>
        </w:rPr>
        <w:t xml:space="preserve"> </w:t>
      </w:r>
    </w:p>
    <w:p w:rsidR="00D95652" w:rsidP="00D95652" w14:paraId="59B2AE12" w14:textId="4599AEC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E3D67">
        <w:rPr>
          <w:rStyle w:val="Strong"/>
          <w:bCs w:val="0"/>
        </w:rPr>
        <w:t>37,</w:t>
      </w:r>
      <w:r w:rsidR="00F877CF">
        <w:rPr>
          <w:rStyle w:val="Strong"/>
          <w:bCs w:val="0"/>
        </w:rPr>
        <w:t xml:space="preserve"> caput,</w:t>
      </w:r>
      <w:r w:rsidRPr="007E3D67">
        <w:rPr>
          <w:rStyle w:val="Strong"/>
          <w:bCs w:val="0"/>
        </w:rPr>
        <w:t xml:space="preserve"> inciso</w:t>
      </w:r>
      <w:r w:rsidR="00F877CF">
        <w:rPr>
          <w:rStyle w:val="Strong"/>
          <w:bCs w:val="0"/>
        </w:rPr>
        <w:t>s II e</w:t>
      </w:r>
      <w:r w:rsidR="00C8480D">
        <w:rPr>
          <w:rStyle w:val="Strong"/>
          <w:bCs w:val="0"/>
        </w:rPr>
        <w:t xml:space="preserve"> V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F877CF">
        <w:rPr>
          <w:rStyle w:val="Strong"/>
          <w:b w:val="0"/>
          <w:bCs w:val="0"/>
        </w:rPr>
        <w:t xml:space="preserve">dispõe sobre os princípios da Administração Pública e sobre a obrigatoriedade do concurso público para provimento de cargos e empregos efetivos e das restrições </w:t>
      </w:r>
      <w:r w:rsidR="00290407">
        <w:rPr>
          <w:rStyle w:val="Strong"/>
          <w:b w:val="0"/>
          <w:bCs w:val="0"/>
        </w:rPr>
        <w:t>aos cargos</w:t>
      </w:r>
      <w:r w:rsidR="00F877CF">
        <w:rPr>
          <w:rStyle w:val="Strong"/>
          <w:b w:val="0"/>
          <w:bCs w:val="0"/>
        </w:rPr>
        <w:t xml:space="preserve"> em comissão.</w:t>
      </w:r>
    </w:p>
    <w:p w:rsidR="00290407" w:rsidP="00D95652" w14:paraId="33D24409" w14:textId="7E6B4A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n° 101/2000</w:t>
      </w:r>
      <w:r w:rsidR="005F4C80">
        <w:rPr>
          <w:rStyle w:val="Strong"/>
          <w:bCs w:val="0"/>
        </w:rPr>
        <w:t xml:space="preserve"> (Lei de Responsabilidade Fiscal), Art. 16 e Art. 17: </w:t>
      </w:r>
      <w:r w:rsidR="005F4C80">
        <w:rPr>
          <w:rStyle w:val="Strong"/>
          <w:b w:val="0"/>
          <w:bCs w:val="0"/>
        </w:rPr>
        <w:t xml:space="preserve">condicionam a criação de cargos, empregos ou funções à estimativa de impacto orçamentário-financeiro e à demonstração de compatibilidade com o Plano Plurianual, a LDO e a LOA. </w:t>
      </w:r>
    </w:p>
    <w:p w:rsidR="005F4C80" w:rsidP="00963121" w14:paraId="751449BC" w14:textId="68199F6C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3A05E793" w14:textId="0F91B71D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642A9CAA" w14:textId="51C90A63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28A04FA2" w14:textId="291BC143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28D1DECA" w14:textId="165CAEBF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7CA8942C" w14:textId="6A49646D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1C9EA0F6" w14:textId="0C91BE69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4E4268BB" w14:textId="64B8BCAD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1E2B2486" w14:textId="7824DCD4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39389B0A" w14:textId="4BA0A95F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6D8E7A13" w14:textId="0DEE1F92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RPr="00D95652" w:rsidP="00963121" w14:paraId="033DD07A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RPr="002A0A87" w:rsidP="00B65347" w14:paraId="365516DA" w14:textId="3AD52559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7080B54E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4B6AAD">
        <w:rPr>
          <w:rFonts w:ascii="Palatino Linotype" w:hAnsi="Palatino Linotype" w:cs="Arial"/>
          <w:b/>
          <w:sz w:val="24"/>
          <w:szCs w:val="24"/>
        </w:rPr>
        <w:t>COMPLEMENTAR N° 22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963121">
        <w:rPr>
          <w:rFonts w:ascii="Palatino Linotype" w:hAnsi="Palatino Linotype" w:cs="Arial"/>
          <w:b/>
          <w:sz w:val="24"/>
          <w:szCs w:val="24"/>
        </w:rPr>
        <w:t>DA MESA DIRETORA.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544B7CF7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4B6AAD">
        <w:rPr>
          <w:rFonts w:ascii="Palatino Linotype" w:hAnsi="Palatino Linotype" w:cs="Arial"/>
          <w:sz w:val="24"/>
          <w:szCs w:val="24"/>
        </w:rPr>
        <w:t>Complementar n° 22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6CDA2C22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871C88">
        <w:rPr>
          <w:rFonts w:ascii="Palatino Linotype" w:hAnsi="Palatino Linotype" w:cs="Arial"/>
          <w:bCs/>
          <w:sz w:val="24"/>
          <w:szCs w:val="24"/>
        </w:rPr>
        <w:t>Comissões, 29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752BB7">
      <w:pPr>
        <w:spacing w:before="240" w:line="360" w:lineRule="auto"/>
        <w:jc w:val="center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(</w:t>
      </w:r>
      <w:r>
        <w:rPr>
          <w:bCs/>
          <w:i/>
          <w:sz w:val="24"/>
          <w:szCs w:val="24"/>
        </w:rPr>
        <w:t>assinado</w:t>
      </w:r>
      <w:r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55C2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E2CEC"/>
    <w:rsid w:val="0020165D"/>
    <w:rsid w:val="00213987"/>
    <w:rsid w:val="00227E2C"/>
    <w:rsid w:val="00234376"/>
    <w:rsid w:val="00235385"/>
    <w:rsid w:val="002434FF"/>
    <w:rsid w:val="0025677C"/>
    <w:rsid w:val="00274CA1"/>
    <w:rsid w:val="0027672A"/>
    <w:rsid w:val="00290407"/>
    <w:rsid w:val="00291486"/>
    <w:rsid w:val="00297379"/>
    <w:rsid w:val="002A0A87"/>
    <w:rsid w:val="002A2BD3"/>
    <w:rsid w:val="002B71AC"/>
    <w:rsid w:val="002C46E0"/>
    <w:rsid w:val="002F3157"/>
    <w:rsid w:val="002F34B4"/>
    <w:rsid w:val="00301C69"/>
    <w:rsid w:val="00312103"/>
    <w:rsid w:val="003121C8"/>
    <w:rsid w:val="00314780"/>
    <w:rsid w:val="00314B47"/>
    <w:rsid w:val="00320B2A"/>
    <w:rsid w:val="00322469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0608"/>
    <w:rsid w:val="003C6BCB"/>
    <w:rsid w:val="003D6D21"/>
    <w:rsid w:val="003F0B47"/>
    <w:rsid w:val="003F59C5"/>
    <w:rsid w:val="003F5AED"/>
    <w:rsid w:val="00405098"/>
    <w:rsid w:val="004104BF"/>
    <w:rsid w:val="004161CD"/>
    <w:rsid w:val="00446FA1"/>
    <w:rsid w:val="00456770"/>
    <w:rsid w:val="00464667"/>
    <w:rsid w:val="00497A43"/>
    <w:rsid w:val="004B1D43"/>
    <w:rsid w:val="004B6AAD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187F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0A02"/>
    <w:rsid w:val="006C2150"/>
    <w:rsid w:val="006D1946"/>
    <w:rsid w:val="006E3A0E"/>
    <w:rsid w:val="006F48DD"/>
    <w:rsid w:val="00700836"/>
    <w:rsid w:val="007038AD"/>
    <w:rsid w:val="00725F41"/>
    <w:rsid w:val="00730F46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7F77D9"/>
    <w:rsid w:val="00804434"/>
    <w:rsid w:val="0080664C"/>
    <w:rsid w:val="0081335D"/>
    <w:rsid w:val="00824488"/>
    <w:rsid w:val="00826AD6"/>
    <w:rsid w:val="008358AB"/>
    <w:rsid w:val="00842408"/>
    <w:rsid w:val="00855DD2"/>
    <w:rsid w:val="00863D24"/>
    <w:rsid w:val="00864928"/>
    <w:rsid w:val="00871C8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8E3052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2717"/>
    <w:rsid w:val="00963121"/>
    <w:rsid w:val="009709EF"/>
    <w:rsid w:val="0098102A"/>
    <w:rsid w:val="00996280"/>
    <w:rsid w:val="00996888"/>
    <w:rsid w:val="009D2523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C6E02"/>
    <w:rsid w:val="00AD2770"/>
    <w:rsid w:val="00AD416D"/>
    <w:rsid w:val="00AD7982"/>
    <w:rsid w:val="00AE3F8F"/>
    <w:rsid w:val="00AE52CD"/>
    <w:rsid w:val="00AE5858"/>
    <w:rsid w:val="00AF0C05"/>
    <w:rsid w:val="00AF3296"/>
    <w:rsid w:val="00AF4AC7"/>
    <w:rsid w:val="00B02DD1"/>
    <w:rsid w:val="00B22DA8"/>
    <w:rsid w:val="00B45DA1"/>
    <w:rsid w:val="00B46214"/>
    <w:rsid w:val="00B56BBF"/>
    <w:rsid w:val="00B57090"/>
    <w:rsid w:val="00B64D61"/>
    <w:rsid w:val="00B65347"/>
    <w:rsid w:val="00B74930"/>
    <w:rsid w:val="00B909E6"/>
    <w:rsid w:val="00BA48C7"/>
    <w:rsid w:val="00BB410F"/>
    <w:rsid w:val="00BC3AFA"/>
    <w:rsid w:val="00BD04BA"/>
    <w:rsid w:val="00BD2CA7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972F9"/>
    <w:rsid w:val="00FA65BC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1483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2025-02-18T14:53:00Z</cp:lastPrinted>
  <dcterms:created xsi:type="dcterms:W3CDTF">2025-10-14T12:09:00Z</dcterms:created>
  <dcterms:modified xsi:type="dcterms:W3CDTF">2025-10-29T14:22:00Z</dcterms:modified>
</cp:coreProperties>
</file>