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pBdr>
          <w:top w:val="nil"/>
          <w:left w:val="nil"/>
          <w:bottom w:val="nil"/>
          <w:right w:val="nil"/>
          <w:between w:val="nil"/>
        </w:pBdr>
        <w:spacing w:line="360" w:lineRule="auto"/>
        <w:jc w:val="center"/>
        <w:rPr>
          <w:b/>
          <w:color w:val="000000"/>
          <w:sz w:val="24"/>
          <w:szCs w:val="24"/>
        </w:rPr>
      </w:pPr>
      <w:r w:rsidRPr="00000000">
        <w:rPr>
          <w:b/>
          <w:color w:val="000000"/>
          <w:sz w:val="24"/>
          <w:szCs w:val="24"/>
          <w:rtl w:val="0"/>
        </w:rPr>
        <w:t>RELATÓRIO</w:t>
      </w:r>
    </w:p>
    <w:p w:rsidR="00000000" w:rsidRPr="00000000" w:rsidP="00000000" w14:paraId="00000002">
      <w:pPr>
        <w:pBdr>
          <w:top w:val="nil"/>
          <w:left w:val="nil"/>
          <w:bottom w:val="nil"/>
          <w:right w:val="nil"/>
          <w:between w:val="nil"/>
        </w:pBdr>
        <w:spacing w:line="360" w:lineRule="auto"/>
        <w:jc w:val="center"/>
        <w:rPr>
          <w:b/>
          <w:sz w:val="24"/>
          <w:szCs w:val="24"/>
        </w:rPr>
      </w:pPr>
    </w:p>
    <w:p w:rsidR="00000000" w:rsidRPr="00000000" w:rsidP="00000000" w14:paraId="00000003">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center"/>
        <w:rPr>
          <w:rFonts w:ascii="Times New Roman" w:eastAsia="Times New Roman" w:hAnsi="Times New Roman" w:cs="Times New Roman"/>
          <w:b/>
          <w:i w:val="0"/>
          <w:smallCaps w:val="0"/>
          <w:strike w:val="0"/>
          <w:color w:val="404040"/>
          <w:sz w:val="24"/>
          <w:szCs w:val="24"/>
          <w:u w:val="none"/>
          <w:shd w:val="clear" w:color="auto" w:fill="auto"/>
          <w:vertAlign w:val="baseline"/>
        </w:rPr>
      </w:pPr>
      <w:r w:rsidRPr="00000000">
        <w:rPr>
          <w:rFonts w:ascii="Times New Roman" w:eastAsia="Times New Roman" w:hAnsi="Times New Roman" w:cs="Times New Roman"/>
          <w:b/>
          <w:i w:val="0"/>
          <w:smallCaps w:val="0"/>
          <w:strike w:val="0"/>
          <w:color w:val="404040"/>
          <w:sz w:val="24"/>
          <w:szCs w:val="24"/>
          <w:u w:val="none"/>
          <w:shd w:val="clear" w:color="auto" w:fill="auto"/>
          <w:vertAlign w:val="baseline"/>
          <w:rtl w:val="0"/>
        </w:rPr>
        <w:t>PROJETO DE LEI Nº 153 DE 2025</w:t>
      </w:r>
    </w:p>
    <w:p w:rsidR="00000000" w:rsidRPr="00000000" w:rsidP="00000000" w14:paraId="00000004">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434343"/>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434343"/>
          <w:sz w:val="24"/>
          <w:szCs w:val="24"/>
          <w:u w:val="none"/>
          <w:shd w:val="clear" w:color="auto" w:fill="auto"/>
          <w:vertAlign w:val="baseline"/>
          <w:rtl w:val="0"/>
        </w:rPr>
        <w:t>“</w:t>
      </w:r>
      <w:r w:rsidRPr="00000000">
        <w:rPr>
          <w:rFonts w:ascii="Times New Roman" w:eastAsia="Times New Roman" w:hAnsi="Times New Roman" w:cs="Times New Roman"/>
          <w:b w:val="0"/>
          <w:i/>
          <w:smallCaps w:val="0"/>
          <w:strike w:val="0"/>
          <w:color w:val="434343"/>
          <w:sz w:val="24"/>
          <w:szCs w:val="24"/>
          <w:u w:val="none"/>
          <w:shd w:val="clear" w:color="auto" w:fill="auto"/>
          <w:vertAlign w:val="baseline"/>
          <w:rtl w:val="0"/>
        </w:rPr>
        <w:t>Institui o Programa Municipal ‘AlimentaCÃO’, que autoriza a instalação de comedouros e bebedouros públicos destinados a cães e gatos em situação de rua no Município de Mogi Mirim, e dá outras providências</w:t>
      </w:r>
      <w:r w:rsidRPr="00000000">
        <w:rPr>
          <w:rFonts w:ascii="Times New Roman" w:eastAsia="Times New Roman" w:hAnsi="Times New Roman" w:cs="Times New Roman"/>
          <w:b w:val="0"/>
          <w:i w:val="0"/>
          <w:smallCaps w:val="0"/>
          <w:strike w:val="0"/>
          <w:color w:val="434343"/>
          <w:sz w:val="24"/>
          <w:szCs w:val="24"/>
          <w:u w:val="none"/>
          <w:shd w:val="clear" w:color="auto" w:fill="auto"/>
          <w:vertAlign w:val="baseline"/>
          <w:rtl w:val="0"/>
        </w:rPr>
        <w:t>”.</w:t>
      </w:r>
    </w:p>
    <w:p w:rsidR="00000000" w:rsidRPr="00000000" w:rsidP="00000000" w14:paraId="00000005">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404040"/>
          <w:sz w:val="24"/>
          <w:szCs w:val="24"/>
          <w:u w:val="none"/>
          <w:shd w:val="clear" w:color="auto" w:fill="auto"/>
          <w:vertAlign w:val="baseline"/>
        </w:rPr>
      </w:pPr>
      <w:r w:rsidRPr="00000000">
        <w:rPr>
          <w:rFonts w:ascii="Times New Roman" w:eastAsia="Times New Roman" w:hAnsi="Times New Roman" w:cs="Times New Roman"/>
          <w:b/>
          <w:i w:val="0"/>
          <w:smallCaps w:val="0"/>
          <w:strike w:val="0"/>
          <w:color w:val="404040"/>
          <w:sz w:val="24"/>
          <w:szCs w:val="24"/>
          <w:u w:val="none"/>
          <w:shd w:val="clear" w:color="auto" w:fill="auto"/>
          <w:vertAlign w:val="baseline"/>
          <w:rtl w:val="0"/>
        </w:rPr>
        <w:t>RELATOR: VEREADOR JOÃO VICTOR GASPARINI</w:t>
      </w:r>
    </w:p>
    <w:p w:rsidR="00000000" w:rsidRPr="00000000" w:rsidP="00000000" w14:paraId="00000006">
      <w:pPr>
        <w:spacing w:line="360" w:lineRule="auto"/>
        <w:jc w:val="both"/>
        <w:rPr>
          <w:sz w:val="24"/>
          <w:szCs w:val="24"/>
        </w:rPr>
      </w:pPr>
      <w:r>
        <w:pict>
          <v:rect id="_x0000_i1025" style="width:0;height:1.5pt" o:hralign="center" o:hrstd="t" o:hr="t" fillcolor="#a0a0a0" stroked="f"/>
        </w:pict>
      </w:r>
    </w:p>
    <w:p w:rsidR="00000000" w:rsidRPr="00000000" w:rsidP="00000000" w14:paraId="00000007">
      <w:pPr>
        <w:pStyle w:val="Heading3"/>
        <w:spacing w:line="360" w:lineRule="auto"/>
        <w:jc w:val="both"/>
        <w:rPr>
          <w:color w:val="404040"/>
          <w:sz w:val="24"/>
          <w:szCs w:val="24"/>
        </w:rPr>
      </w:pPr>
      <w:r w:rsidRPr="00000000">
        <w:rPr>
          <w:b/>
          <w:color w:val="404040"/>
          <w:sz w:val="24"/>
          <w:szCs w:val="24"/>
          <w:rtl w:val="0"/>
        </w:rPr>
        <w:t>I - EXPOSIÇÃO DA MATÉRIA EM EXAME</w:t>
      </w:r>
    </w:p>
    <w:p w:rsidR="00000000" w:rsidRPr="00000000" w:rsidP="00000000" w14:paraId="00000008">
      <w:pPr>
        <w:keepNext w:val="0"/>
        <w:keepLines w:val="0"/>
        <w:pageBreakBefore w:val="0"/>
        <w:widowControl/>
        <w:pBdr>
          <w:top w:val="nil"/>
          <w:left w:val="nil"/>
          <w:bottom w:val="nil"/>
          <w:right w:val="nil"/>
          <w:between w:val="nil"/>
        </w:pBdr>
        <w:shd w:val="clear" w:color="auto" w:fill="auto"/>
        <w:spacing w:before="240" w:after="24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404040"/>
          <w:sz w:val="24"/>
          <w:szCs w:val="24"/>
          <w:u w:val="none"/>
          <w:shd w:val="clear" w:color="auto" w:fill="auto"/>
          <w:vertAlign w:val="baseline"/>
          <w:rtl w:val="0"/>
        </w:rPr>
        <w:tab/>
      </w: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 xml:space="preserve">O Projeto de Lei nº 153 de 2025, de autoria do Vereador Luiz Fernando Saviano, tem por objetivo instituir, no âmbito do Município de Mogi Mirim, o </w:t>
      </w:r>
      <w:r w:rsidRPr="00000000">
        <w:rPr>
          <w:rFonts w:ascii="Times New Roman" w:eastAsia="Times New Roman" w:hAnsi="Times New Roman" w:cs="Times New Roman"/>
          <w:b w:val="0"/>
          <w:i/>
          <w:smallCaps w:val="0"/>
          <w:strike w:val="0"/>
          <w:color w:val="000000"/>
          <w:sz w:val="24"/>
          <w:szCs w:val="24"/>
          <w:u w:val="none"/>
          <w:shd w:val="clear" w:color="auto" w:fill="auto"/>
          <w:vertAlign w:val="baseline"/>
          <w:rtl w:val="0"/>
        </w:rPr>
        <w:t>Programa Municipal AlimentaCÃO</w:t>
      </w: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 destinado à instalação de comedouros e bebedouros públicos para cães e gatos em situação de rua.</w:t>
      </w:r>
    </w:p>
    <w:p w:rsidR="00000000" w:rsidRPr="00000000" w:rsidP="00000000" w14:paraId="00000009">
      <w:pPr>
        <w:keepNext w:val="0"/>
        <w:keepLines w:val="0"/>
        <w:pageBreakBefore w:val="0"/>
        <w:widowControl/>
        <w:pBdr>
          <w:top w:val="nil"/>
          <w:left w:val="nil"/>
          <w:bottom w:val="nil"/>
          <w:right w:val="nil"/>
          <w:between w:val="nil"/>
        </w:pBdr>
        <w:shd w:val="clear" w:color="auto" w:fill="auto"/>
        <w:spacing w:before="240" w:after="24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ab/>
        <w:t>De acordo com a proposição, a execução do programa será viabilizada sem ônus ao Poder Público, sendo de responsabilidade de voluntários e entidades parceiras a construção, abastecimento, manutenção e higienização dos equipamentos. O texto ainda autoriza a veiculação de marcas e logotipos de apoiadores nos equipamentos, como forma de contrapartida social, vedando o uso comercial desses espaços.</w:t>
      </w:r>
    </w:p>
    <w:p w:rsidR="00000000" w:rsidRPr="00000000" w:rsidP="00000000" w14:paraId="0000000A">
      <w:pPr>
        <w:keepNext w:val="0"/>
        <w:keepLines w:val="0"/>
        <w:pageBreakBefore w:val="0"/>
        <w:widowControl/>
        <w:pBdr>
          <w:top w:val="nil"/>
          <w:left w:val="nil"/>
          <w:bottom w:val="nil"/>
          <w:right w:val="nil"/>
          <w:between w:val="nil"/>
        </w:pBdr>
        <w:shd w:val="clear" w:color="auto" w:fill="auto"/>
        <w:spacing w:before="240" w:after="24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ab/>
        <w:t>A iniciativa prevê sanções administrativas para quem danificar os equipamentos, inclusive com a possibilidade de substituição da multa por medidas educativas e prestação de serviço voluntário junto ao Programa Municipal de Bem-Estar Animal (BEA).</w:t>
      </w:r>
    </w:p>
    <w:p w:rsidR="00000000" w:rsidRPr="00000000" w:rsidP="00000000" w14:paraId="0000000B">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pict>
          <v:rect id="_x0000_i1026" style="width:0;height:1.5pt" o:hralign="center" o:hrstd="t" o:hr="t" fillcolor="#a0a0a0" stroked="f"/>
        </w:pict>
      </w:r>
    </w:p>
    <w:p w:rsidR="00000000" w:rsidRPr="00000000" w:rsidP="00000000" w14:paraId="0000000C">
      <w:pPr>
        <w:pStyle w:val="Heading3"/>
        <w:spacing w:line="360" w:lineRule="auto"/>
        <w:jc w:val="both"/>
        <w:rPr>
          <w:b/>
          <w:color w:val="404040"/>
          <w:sz w:val="24"/>
          <w:szCs w:val="24"/>
        </w:rPr>
      </w:pPr>
      <w:r w:rsidRPr="00000000">
        <w:rPr>
          <w:b/>
          <w:color w:val="404040"/>
          <w:sz w:val="24"/>
          <w:szCs w:val="24"/>
          <w:rtl w:val="0"/>
        </w:rPr>
        <w:t>II - CONCLUSÕES DO RELATOR</w:t>
      </w:r>
    </w:p>
    <w:p w:rsidR="00000000" w:rsidRPr="00000000" w:rsidP="00000000" w14:paraId="0000000D">
      <w:pPr>
        <w:keepNext w:val="0"/>
        <w:keepLines w:val="0"/>
        <w:pageBreakBefore w:val="0"/>
        <w:widowControl/>
        <w:pBdr>
          <w:top w:val="nil"/>
          <w:left w:val="nil"/>
          <w:bottom w:val="nil"/>
          <w:right w:val="nil"/>
          <w:between w:val="nil"/>
        </w:pBdr>
        <w:shd w:val="clear" w:color="auto" w:fill="auto"/>
        <w:spacing w:before="240" w:after="24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ab/>
        <w:t>Do ponto de vista formal, o projeto atende aos requisitos do processo legislativo estabelecidos na Lei Orgânica do Município de Mogi Mirim, não havendo vícios de iniciativa, uma vez que não cria despesa pública nem interfere na estrutura administrativa do Executivo. A proposta tem natureza autorizativa, conferindo competência ao Executivo para regulamentação posterior, conforme previsto no art. 6º do texto.</w:t>
      </w:r>
    </w:p>
    <w:p w:rsidR="00000000" w:rsidRPr="00000000" w:rsidP="00000000" w14:paraId="0000000E">
      <w:pPr>
        <w:keepNext w:val="0"/>
        <w:keepLines w:val="0"/>
        <w:pageBreakBefore w:val="0"/>
        <w:widowControl/>
        <w:pBdr>
          <w:top w:val="nil"/>
          <w:left w:val="nil"/>
          <w:bottom w:val="nil"/>
          <w:right w:val="nil"/>
          <w:between w:val="nil"/>
        </w:pBdr>
        <w:shd w:val="clear" w:color="auto" w:fill="auto"/>
        <w:spacing w:before="240" w:after="24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ab/>
        <w:t xml:space="preserve">No campo material, o projeto harmoniza-se com os artigos 23, inciso VII, e 225 da Constituição Federal, que impõem à União, aos Estados, ao Distrito Federal e aos Municípios o dever de proteger a fauna e a flora, vedando práticas que submetam os animais </w:t>
      </w:r>
      <w:r w:rsidRPr="00000000">
        <w:rPr>
          <w:sz w:val="24"/>
          <w:szCs w:val="24"/>
          <w:rtl w:val="0"/>
        </w:rPr>
        <w:t>à crueldade</w:t>
      </w: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 Também se alinha ao art. 193, inciso X, da Constituição do Estado de São Paulo, que expressamente determina a proteção da fauna doméstica.</w:t>
      </w:r>
    </w:p>
    <w:p w:rsidR="00000000" w:rsidRPr="00000000" w:rsidP="00000000" w14:paraId="0000000F">
      <w:pPr>
        <w:keepNext w:val="0"/>
        <w:keepLines w:val="0"/>
        <w:pageBreakBefore w:val="0"/>
        <w:widowControl/>
        <w:pBdr>
          <w:top w:val="nil"/>
          <w:left w:val="nil"/>
          <w:bottom w:val="nil"/>
          <w:right w:val="nil"/>
          <w:between w:val="nil"/>
        </w:pBdr>
        <w:shd w:val="clear" w:color="auto" w:fill="auto"/>
        <w:spacing w:before="240" w:after="24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ab/>
        <w:t>A proposta não afronta o princípio da legalidade nem invade competência privativa do Executivo, uma vez que se limita a autorizar e estimular a criação de espaços públicos de alimentação e hidratação animal, sem impor obrigações ou encargos financeiros à administração.</w:t>
      </w:r>
    </w:p>
    <w:p w:rsidR="00000000" w:rsidRPr="00000000" w:rsidP="00000000" w14:paraId="00000010">
      <w:pPr>
        <w:keepNext w:val="0"/>
        <w:keepLines w:val="0"/>
        <w:pageBreakBefore w:val="0"/>
        <w:widowControl/>
        <w:pBdr>
          <w:top w:val="nil"/>
          <w:left w:val="nil"/>
          <w:bottom w:val="nil"/>
          <w:right w:val="nil"/>
          <w:between w:val="nil"/>
        </w:pBdr>
        <w:shd w:val="clear" w:color="auto" w:fill="auto"/>
        <w:spacing w:before="240" w:after="24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ab/>
        <w:t>Além disso, há compatibilidade com os princípios da função social e ambiental das cidades (art. 182 da CF) e com as diretrizes do Estatuto da Cidade (Lei Federal nº 10.257/2001), que prevê a promoção da qualidade ambiental urbana como componente do bem-estar coletivo.</w:t>
      </w:r>
    </w:p>
    <w:p w:rsidR="00000000" w:rsidRPr="00000000" w:rsidP="00000000" w14:paraId="00000011">
      <w:pPr>
        <w:keepNext w:val="0"/>
        <w:keepLines w:val="0"/>
        <w:pageBreakBefore w:val="0"/>
        <w:widowControl/>
        <w:pBdr>
          <w:top w:val="nil"/>
          <w:left w:val="nil"/>
          <w:bottom w:val="nil"/>
          <w:right w:val="nil"/>
          <w:between w:val="nil"/>
        </w:pBdr>
        <w:shd w:val="clear" w:color="auto" w:fill="auto"/>
        <w:spacing w:before="240" w:after="24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ab/>
        <w:t>Do ponto de vista infraconstitucional, o projeto também reforça as políticas públicas de bem-estar animal, alinhando-se às normativas federais e estaduais sobre o tema, como a Lei Federal nº 9.605/1998 (Lei de Crimes Ambientais), especialmente em seu art. 32, que criminaliza atos de abuso e maus-tratos contra animais, e ao Decreto Estadual nº 64.553/2019, que institui a Política de Proteção Animal no Estado de São Paulo.</w:t>
      </w:r>
    </w:p>
    <w:p w:rsidR="00000000" w:rsidRPr="00000000" w:rsidP="00000000" w14:paraId="00000012">
      <w:pPr>
        <w:keepNext w:val="0"/>
        <w:keepLines w:val="0"/>
        <w:pageBreakBefore w:val="0"/>
        <w:widowControl/>
        <w:pBdr>
          <w:top w:val="nil"/>
          <w:left w:val="nil"/>
          <w:bottom w:val="nil"/>
          <w:right w:val="nil"/>
          <w:between w:val="nil"/>
        </w:pBdr>
        <w:shd w:val="clear" w:color="auto" w:fill="auto"/>
        <w:spacing w:before="240" w:after="24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ab/>
        <w:t>O texto prevê sanções proporcionais à conduta infracional, compatíveis com o princípio da razoabilidade, e a conversão da multa em prestação de serviço voluntário configura medida educativa que reforça o caráter restaurativo da norma, em consonância com a função social da pena administrativa.</w:t>
      </w:r>
    </w:p>
    <w:p w:rsidR="00000000" w:rsidRPr="00000000" w:rsidP="00000000" w14:paraId="00000013">
      <w:pPr>
        <w:spacing w:line="360" w:lineRule="auto"/>
        <w:jc w:val="both"/>
        <w:rPr>
          <w:sz w:val="24"/>
          <w:szCs w:val="24"/>
        </w:rPr>
      </w:pPr>
      <w:r w:rsidRPr="00000000">
        <w:rPr>
          <w:sz w:val="24"/>
          <w:szCs w:val="24"/>
          <w:rtl w:val="0"/>
        </w:rPr>
        <w:tab/>
        <w:t xml:space="preserve">Nesse sentido, é válido destacar que </w:t>
      </w:r>
      <w:r w:rsidRPr="00000000">
        <w:rPr>
          <w:color w:val="000000"/>
          <w:sz w:val="24"/>
          <w:szCs w:val="24"/>
          <w:rtl w:val="0"/>
        </w:rPr>
        <w:t>a proposição se insere dentro da competência legislativa municipal residual, conforme o art. 30, I e II da Constituição Federal, que autoriza o Município a legislar sobre assuntos de interesse local e a suplementar normas federais e estaduais no que couber.</w:t>
      </w:r>
    </w:p>
    <w:p w:rsidR="00000000" w:rsidRPr="00000000" w:rsidP="00000000" w14:paraId="00000014">
      <w:pPr>
        <w:keepNext w:val="0"/>
        <w:keepLines w:val="0"/>
        <w:pageBreakBefore w:val="0"/>
        <w:widowControl/>
        <w:pBdr>
          <w:top w:val="nil"/>
          <w:left w:val="nil"/>
          <w:bottom w:val="nil"/>
          <w:right w:val="nil"/>
          <w:between w:val="nil"/>
        </w:pBdr>
        <w:shd w:val="clear" w:color="auto" w:fill="auto"/>
        <w:spacing w:before="240" w:after="24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ab/>
        <w:t>O projeto também está em harmonia com os princípios de gestão democrática e participação social, na medida em que promove o engajamento de cidadãos, ONGs e empresas, conforme previsto no art. 1º, parágrafo único, da Constituição Federal, que consagra o princípio da soberania popular como fundamento da República.</w:t>
      </w:r>
    </w:p>
    <w:p w:rsidR="00000000" w:rsidRPr="00000000" w:rsidP="00000000" w14:paraId="00000015">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pict>
          <v:rect id="_x0000_i1027" style="width:0;height:1.5pt" o:hralign="center" o:hrstd="t" o:hr="t" fillcolor="#a0a0a0" stroked="f"/>
        </w:pict>
      </w:r>
    </w:p>
    <w:p w:rsidR="00000000" w:rsidRPr="00000000" w:rsidP="00000000" w14:paraId="00000016">
      <w:pPr>
        <w:pStyle w:val="Heading3"/>
        <w:spacing w:line="360" w:lineRule="auto"/>
        <w:jc w:val="both"/>
        <w:rPr>
          <w:b/>
          <w:color w:val="404040"/>
          <w:sz w:val="24"/>
          <w:szCs w:val="24"/>
        </w:rPr>
      </w:pPr>
      <w:r w:rsidRPr="00000000">
        <w:rPr>
          <w:b/>
          <w:color w:val="404040"/>
          <w:sz w:val="24"/>
          <w:szCs w:val="24"/>
          <w:rtl w:val="0"/>
        </w:rPr>
        <w:t>III - DECISÃO DA COMISSÃO</w:t>
      </w:r>
    </w:p>
    <w:p w:rsidR="00000000" w:rsidRPr="00000000" w:rsidP="00000000" w14:paraId="00000017">
      <w:pPr>
        <w:keepNext w:val="0"/>
        <w:keepLines w:val="0"/>
        <w:pageBreakBefore w:val="0"/>
        <w:widowControl/>
        <w:pBdr>
          <w:top w:val="nil"/>
          <w:left w:val="nil"/>
          <w:bottom w:val="nil"/>
          <w:right w:val="nil"/>
          <w:between w:val="nil"/>
        </w:pBdr>
        <w:shd w:val="clear" w:color="auto" w:fill="auto"/>
        <w:spacing w:before="240" w:after="24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404040"/>
          <w:sz w:val="24"/>
          <w:szCs w:val="24"/>
          <w:u w:val="none"/>
          <w:shd w:val="clear" w:color="auto" w:fill="auto"/>
          <w:vertAlign w:val="baseline"/>
          <w:rtl w:val="0"/>
        </w:rPr>
        <w:tab/>
      </w: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Diante do exposto, esta Comissão de Justiça e Redação entende que o Projeto de Lei Complementar nº 153/2025 é constitucional, legal e redacionalmente adequado, estando em conformidade com os princípios constitucionais da proteção ambiental e da competência legislativa municipal.</w:t>
      </w:r>
    </w:p>
    <w:p w:rsidR="00000000" w:rsidRPr="00000000" w:rsidP="00000000" w14:paraId="00000018">
      <w:pPr>
        <w:keepNext w:val="0"/>
        <w:keepLines w:val="0"/>
        <w:pageBreakBefore w:val="0"/>
        <w:widowControl/>
        <w:pBdr>
          <w:top w:val="nil"/>
          <w:left w:val="nil"/>
          <w:bottom w:val="nil"/>
          <w:right w:val="nil"/>
          <w:between w:val="nil"/>
        </w:pBdr>
        <w:shd w:val="clear" w:color="auto" w:fill="auto"/>
        <w:spacing w:before="240" w:after="24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ab/>
        <w:t>O texto proposto é tecnicamente correto, apresenta linguagem clara e atende aos parâmetros formais exigidos para tramitação legislativa. Recomenda-se, apenas, que o Poder Executivo, ao regulamentar a matéria, estabeleça parâmetros sanitários e estéticos específicos, em consonância com as normas da Vigilância Sanitária Municipal e do Conselho Regional de Medicina Veterinária.</w:t>
      </w:r>
    </w:p>
    <w:p w:rsidR="00000000" w:rsidRPr="00000000" w:rsidP="00000000" w14:paraId="00000019">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ab/>
        <w:t xml:space="preserve">Assim, o parecer é </w:t>
      </w:r>
      <w:r w:rsidRPr="00000000">
        <w:rPr>
          <w:rFonts w:ascii="Times New Roman" w:eastAsia="Times New Roman" w:hAnsi="Times New Roman" w:cs="Times New Roman"/>
          <w:b/>
          <w:i w:val="0"/>
          <w:smallCaps w:val="0"/>
          <w:strike w:val="0"/>
          <w:color w:val="000000"/>
          <w:sz w:val="24"/>
          <w:szCs w:val="24"/>
          <w:u w:val="none"/>
          <w:shd w:val="clear" w:color="auto" w:fill="auto"/>
          <w:vertAlign w:val="baseline"/>
          <w:rtl w:val="0"/>
        </w:rPr>
        <w:t>favorável</w:t>
      </w: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 xml:space="preserve"> à tramitação e aprovação do Projeto de Lei nº 153/2025, por estar de acordo com a ordem constitucional, legal e técnica vigente.</w:t>
      </w:r>
      <w:r>
        <w:pict>
          <v:rect id="_x0000_i1028" style="width:0;height:1.5pt" o:hralign="center" o:hrstd="t" o:hr="t" fillcolor="#a0a0a0" stroked="f"/>
        </w:pict>
      </w:r>
    </w:p>
    <w:p w:rsidR="00000000" w:rsidRPr="00000000" w:rsidP="00000000" w14:paraId="0000001A">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404040"/>
          <w:sz w:val="24"/>
          <w:szCs w:val="24"/>
          <w:u w:val="none"/>
          <w:shd w:val="clear" w:color="auto" w:fill="auto"/>
          <w:vertAlign w:val="baseline"/>
        </w:rPr>
      </w:pPr>
      <w:r w:rsidRPr="00000000">
        <w:rPr>
          <w:rFonts w:ascii="Times New Roman" w:eastAsia="Times New Roman" w:hAnsi="Times New Roman" w:cs="Times New Roman"/>
          <w:b/>
          <w:i w:val="0"/>
          <w:smallCaps w:val="0"/>
          <w:strike w:val="0"/>
          <w:color w:val="404040"/>
          <w:sz w:val="24"/>
          <w:szCs w:val="24"/>
          <w:u w:val="none"/>
          <w:shd w:val="clear" w:color="auto" w:fill="auto"/>
          <w:vertAlign w:val="baseline"/>
          <w:rtl w:val="0"/>
        </w:rPr>
        <w:t>Assinam os membros da Comissão de Justiça e Redação que votaram a favor:</w:t>
      </w:r>
    </w:p>
    <w:p w:rsidR="00000000" w:rsidRPr="00000000" w:rsidP="00000000" w14:paraId="0000001B">
      <w:pPr>
        <w:keepNext w:val="0"/>
        <w:keepLines w:val="0"/>
        <w:pageBreakBefore w:val="0"/>
        <w:widowControl/>
        <w:numPr>
          <w:ilvl w:val="0"/>
          <w:numId w:val="1"/>
        </w:numPr>
        <w:pBdr>
          <w:top w:val="nil"/>
          <w:left w:val="nil"/>
          <w:bottom w:val="nil"/>
          <w:right w:val="nil"/>
          <w:between w:val="nil"/>
        </w:pBdr>
        <w:shd w:val="clear" w:color="auto" w:fill="auto"/>
        <w:spacing w:before="0" w:after="0" w:line="360" w:lineRule="auto"/>
        <w:ind w:left="720" w:right="0" w:hanging="360"/>
        <w:jc w:val="both"/>
        <w:rPr>
          <w:rFonts w:ascii="Times New Roman" w:eastAsia="Times New Roman" w:hAnsi="Times New Roman" w:cs="Times New Roman"/>
          <w:b w:val="0"/>
          <w:i w:val="0"/>
          <w:smallCaps w:val="0"/>
          <w:strike w:val="0"/>
          <w:color w:val="40404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404040"/>
          <w:sz w:val="24"/>
          <w:szCs w:val="24"/>
          <w:u w:val="none"/>
          <w:shd w:val="clear" w:color="auto" w:fill="auto"/>
          <w:vertAlign w:val="baseline"/>
          <w:rtl w:val="0"/>
        </w:rPr>
        <w:t>Vereador João Victor Gasparini (Vice-Presidente)</w:t>
      </w:r>
    </w:p>
    <w:p w:rsidR="00000000" w:rsidRPr="00000000" w:rsidP="00000000" w14:paraId="0000001C">
      <w:pPr>
        <w:keepNext w:val="0"/>
        <w:keepLines w:val="0"/>
        <w:pageBreakBefore w:val="0"/>
        <w:widowControl/>
        <w:numPr>
          <w:ilvl w:val="0"/>
          <w:numId w:val="1"/>
        </w:numPr>
        <w:pBdr>
          <w:top w:val="nil"/>
          <w:left w:val="nil"/>
          <w:bottom w:val="nil"/>
          <w:right w:val="nil"/>
          <w:between w:val="nil"/>
        </w:pBdr>
        <w:shd w:val="clear" w:color="auto" w:fill="auto"/>
        <w:spacing w:before="0" w:after="0" w:line="360" w:lineRule="auto"/>
        <w:ind w:left="720" w:right="0" w:hanging="360"/>
        <w:jc w:val="both"/>
        <w:rPr>
          <w:rFonts w:ascii="Times New Roman" w:eastAsia="Times New Roman" w:hAnsi="Times New Roman" w:cs="Times New Roman"/>
          <w:b w:val="0"/>
          <w:i w:val="0"/>
          <w:smallCaps w:val="0"/>
          <w:strike w:val="0"/>
          <w:color w:val="40404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404040"/>
          <w:sz w:val="24"/>
          <w:szCs w:val="24"/>
          <w:u w:val="none"/>
          <w:shd w:val="clear" w:color="auto" w:fill="auto"/>
          <w:vertAlign w:val="baseline"/>
          <w:rtl w:val="0"/>
        </w:rPr>
        <w:t>Vereador Wagner Ricardo Pereira (Presidente)</w:t>
      </w:r>
    </w:p>
    <w:p w:rsidR="00000000" w:rsidRPr="00000000" w:rsidP="00000000" w14:paraId="0000001D">
      <w:pPr>
        <w:keepNext w:val="0"/>
        <w:keepLines w:val="0"/>
        <w:pageBreakBefore w:val="0"/>
        <w:widowControl/>
        <w:numPr>
          <w:ilvl w:val="0"/>
          <w:numId w:val="1"/>
        </w:numPr>
        <w:pBdr>
          <w:top w:val="nil"/>
          <w:left w:val="nil"/>
          <w:bottom w:val="nil"/>
          <w:right w:val="nil"/>
          <w:between w:val="nil"/>
        </w:pBdr>
        <w:shd w:val="clear" w:color="auto" w:fill="auto"/>
        <w:spacing w:before="0" w:after="280" w:line="360" w:lineRule="auto"/>
        <w:ind w:left="720" w:right="0" w:hanging="360"/>
        <w:jc w:val="both"/>
      </w:pPr>
      <w:r w:rsidRPr="00000000">
        <w:rPr>
          <w:rFonts w:ascii="Times New Roman" w:eastAsia="Times New Roman" w:hAnsi="Times New Roman" w:cs="Times New Roman"/>
          <w:b w:val="0"/>
          <w:i w:val="0"/>
          <w:smallCaps w:val="0"/>
          <w:strike w:val="0"/>
          <w:color w:val="404040"/>
          <w:sz w:val="24"/>
          <w:szCs w:val="24"/>
          <w:u w:val="none"/>
          <w:shd w:val="clear" w:color="auto" w:fill="auto"/>
          <w:vertAlign w:val="baseline"/>
          <w:rtl w:val="0"/>
        </w:rPr>
        <w:t>Vereador Wilians Mendes de Oliveira (Membro)</w:t>
      </w:r>
    </w:p>
    <w:p w:rsidR="00000000" w:rsidRPr="00000000" w:rsidP="00000000" w14:paraId="0000001E">
      <w:pPr>
        <w:keepNext w:val="0"/>
        <w:keepLines w:val="0"/>
        <w:pageBreakBefore w:val="0"/>
        <w:widowControl/>
        <w:pBdr>
          <w:top w:val="nil"/>
          <w:left w:val="nil"/>
          <w:bottom w:val="nil"/>
          <w:right w:val="nil"/>
          <w:between w:val="nil"/>
        </w:pBdr>
        <w:shd w:val="clear" w:color="auto" w:fill="auto"/>
        <w:spacing w:before="0" w:after="28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pict>
          <v:rect id="_x0000_i1029" style="width:0;height:1.5pt" o:hralign="center" o:hrstd="t" o:hr="t" fillcolor="#a0a0a0" stroked="f"/>
        </w:pict>
      </w:r>
    </w:p>
    <w:p w:rsidR="00000000" w:rsidRPr="00000000" w:rsidP="00000000" w14:paraId="0000001F">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i w:val="0"/>
          <w:smallCaps w:val="0"/>
          <w:strike w:val="0"/>
          <w:color w:val="404040"/>
          <w:sz w:val="24"/>
          <w:szCs w:val="24"/>
          <w:u w:val="none"/>
          <w:shd w:val="clear" w:color="auto" w:fill="auto"/>
          <w:vertAlign w:val="baseline"/>
        </w:rPr>
      </w:pPr>
      <w:r w:rsidRPr="00000000">
        <w:rPr>
          <w:rFonts w:ascii="Times New Roman" w:eastAsia="Times New Roman" w:hAnsi="Times New Roman" w:cs="Times New Roman"/>
          <w:b/>
          <w:i w:val="0"/>
          <w:smallCaps w:val="0"/>
          <w:strike w:val="0"/>
          <w:color w:val="404040"/>
          <w:sz w:val="24"/>
          <w:szCs w:val="24"/>
          <w:u w:val="none"/>
          <w:shd w:val="clear" w:color="auto" w:fill="auto"/>
          <w:vertAlign w:val="baseline"/>
          <w:rtl w:val="0"/>
        </w:rPr>
        <w:t>SALA DAS SESSÕES “VEREADOR SANTO RÓTTOLI”, em 30 de outubro de 2025.</w:t>
      </w:r>
    </w:p>
    <w:p w:rsidR="00000000" w:rsidRPr="00000000" w:rsidP="00000000" w14:paraId="00000020">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404040"/>
          <w:sz w:val="24"/>
          <w:szCs w:val="24"/>
          <w:u w:val="none"/>
          <w:shd w:val="clear" w:color="auto" w:fill="auto"/>
          <w:vertAlign w:val="baseline"/>
        </w:rPr>
      </w:pPr>
    </w:p>
    <w:p w:rsidR="00000000" w:rsidRPr="00000000" w:rsidP="00000000" w14:paraId="00000021">
      <w:pPr>
        <w:spacing w:before="240" w:line="360" w:lineRule="auto"/>
        <w:jc w:val="center"/>
        <w:rPr>
          <w:i/>
          <w:sz w:val="24"/>
          <w:szCs w:val="24"/>
        </w:rPr>
      </w:pPr>
    </w:p>
    <w:p w:rsidR="00000000" w:rsidRPr="00000000" w:rsidP="00000000" w14:paraId="00000022">
      <w:pPr>
        <w:spacing w:before="240" w:line="360" w:lineRule="auto"/>
        <w:jc w:val="center"/>
        <w:rPr>
          <w:i/>
          <w:sz w:val="24"/>
          <w:szCs w:val="24"/>
        </w:rPr>
      </w:pPr>
      <w:r w:rsidRPr="00000000">
        <w:rPr>
          <w:i/>
          <w:sz w:val="24"/>
          <w:szCs w:val="24"/>
          <w:rtl w:val="0"/>
        </w:rPr>
        <w:t>(assinado digitalmente)</w:t>
      </w:r>
    </w:p>
    <w:p w:rsidR="00000000" w:rsidRPr="00000000" w:rsidP="00000000" w14:paraId="00000023">
      <w:pPr>
        <w:spacing w:line="360" w:lineRule="auto"/>
        <w:jc w:val="center"/>
        <w:rPr>
          <w:b/>
          <w:sz w:val="24"/>
          <w:szCs w:val="24"/>
          <w:highlight w:val="white"/>
          <w:u w:val="single"/>
        </w:rPr>
      </w:pPr>
      <w:r w:rsidRPr="00000000">
        <w:rPr>
          <w:b/>
          <w:sz w:val="24"/>
          <w:szCs w:val="24"/>
          <w:highlight w:val="white"/>
          <w:u w:val="single"/>
          <w:rtl w:val="0"/>
        </w:rPr>
        <w:t>VEREADOR JOÃO VICTOR GASPARINI</w:t>
      </w:r>
    </w:p>
    <w:p w:rsidR="00000000" w:rsidRPr="00000000" w:rsidP="00000000" w14:paraId="00000024">
      <w:pPr>
        <w:spacing w:line="360" w:lineRule="auto"/>
        <w:jc w:val="center"/>
        <w:rPr>
          <w:sz w:val="24"/>
          <w:szCs w:val="24"/>
        </w:rPr>
      </w:pPr>
      <w:r w:rsidRPr="00000000">
        <w:rPr>
          <w:sz w:val="24"/>
          <w:szCs w:val="24"/>
          <w:rtl w:val="0"/>
        </w:rPr>
        <w:t>Relator</w:t>
      </w:r>
    </w:p>
    <w:p w:rsidR="00000000" w:rsidRPr="00000000" w:rsidP="00000000" w14:paraId="00000025">
      <w:pPr>
        <w:spacing w:line="360" w:lineRule="auto"/>
        <w:jc w:val="both"/>
        <w:rPr>
          <w:sz w:val="24"/>
          <w:szCs w:val="24"/>
        </w:rPr>
      </w:pPr>
    </w:p>
    <w:p w:rsidR="00000000" w:rsidRPr="00000000" w:rsidP="00000000" w14:paraId="00000026">
      <w:pPr>
        <w:spacing w:line="360" w:lineRule="auto"/>
        <w:jc w:val="both"/>
        <w:rPr>
          <w:sz w:val="24"/>
          <w:szCs w:val="24"/>
        </w:rPr>
      </w:pPr>
      <w:r>
        <w:pict>
          <v:rect id="_x0000_i1030" style="width:0;height:1.5pt" o:hralign="center" o:hrstd="t" o:hr="t" fillcolor="#a0a0a0" stroked="f"/>
        </w:pict>
      </w:r>
    </w:p>
    <w:p w:rsidR="00000000" w:rsidRPr="00000000" w:rsidP="00000000" w14:paraId="00000027">
      <w:pPr>
        <w:spacing w:line="360" w:lineRule="auto"/>
        <w:jc w:val="both"/>
        <w:rPr>
          <w:color w:val="404040"/>
          <w:sz w:val="24"/>
          <w:szCs w:val="24"/>
        </w:rPr>
      </w:pPr>
      <w:r w:rsidRPr="00000000">
        <w:rPr>
          <w:b/>
          <w:color w:val="404040"/>
          <w:sz w:val="24"/>
          <w:szCs w:val="24"/>
          <w:rtl w:val="0"/>
        </w:rPr>
        <w:t>REFERÊNCIAS</w:t>
      </w:r>
    </w:p>
    <w:p w:rsidR="00000000" w:rsidRPr="00000000" w:rsidP="00000000" w14:paraId="00000028">
      <w:pPr>
        <w:jc w:val="both"/>
        <w:rPr>
          <w:b w:val="0"/>
          <w:sz w:val="24"/>
          <w:szCs w:val="24"/>
        </w:rPr>
      </w:pPr>
      <w:r w:rsidRPr="00000000">
        <w:rPr>
          <w:b w:val="0"/>
          <w:sz w:val="24"/>
          <w:szCs w:val="24"/>
          <w:rtl w:val="0"/>
        </w:rPr>
        <w:t>BRASIL. Constituição (1988). Constituição da República Federativa do Brasil. Brasília, DF: Senado Federal, 1988.</w:t>
      </w:r>
    </w:p>
    <w:p w:rsidR="00000000" w:rsidRPr="00000000" w:rsidP="00000000" w14:paraId="00000029">
      <w:pPr>
        <w:jc w:val="both"/>
        <w:rPr>
          <w:b w:val="0"/>
          <w:sz w:val="24"/>
          <w:szCs w:val="24"/>
        </w:rPr>
      </w:pPr>
    </w:p>
    <w:p w:rsidR="00000000" w:rsidRPr="00000000" w:rsidP="00000000" w14:paraId="0000002A">
      <w:pPr>
        <w:jc w:val="both"/>
        <w:rPr>
          <w:b w:val="0"/>
          <w:sz w:val="24"/>
          <w:szCs w:val="24"/>
        </w:rPr>
      </w:pPr>
      <w:r w:rsidRPr="00000000">
        <w:rPr>
          <w:b w:val="0"/>
          <w:sz w:val="24"/>
          <w:szCs w:val="24"/>
          <w:rtl w:val="0"/>
        </w:rPr>
        <w:t>BRASIL. Lei Complementar nº 95, de 26 de fevereiro de 1998. Dispõe sobre a elaboração, a redação, a alteração e a consolidação das leis, conforme determina o parágrafo único do art. 59 da Constituição Federal, e estabelece normas para a consolidação dos atos normativos que menciona. Diário Oficial da União: seção 1, Brasília, DF, 27 fev. 1998.</w:t>
      </w:r>
    </w:p>
    <w:p w:rsidR="00000000" w:rsidRPr="00000000" w:rsidP="00000000" w14:paraId="0000002B">
      <w:pPr>
        <w:jc w:val="both"/>
        <w:rPr>
          <w:b w:val="0"/>
          <w:sz w:val="24"/>
          <w:szCs w:val="24"/>
        </w:rPr>
      </w:pPr>
    </w:p>
    <w:p w:rsidR="00000000" w:rsidRPr="00000000" w:rsidP="00000000" w14:paraId="0000002C">
      <w:pPr>
        <w:jc w:val="both"/>
        <w:rPr>
          <w:b w:val="0"/>
          <w:sz w:val="24"/>
          <w:szCs w:val="24"/>
        </w:rPr>
      </w:pPr>
      <w:r w:rsidRPr="00000000">
        <w:rPr>
          <w:sz w:val="24"/>
          <w:szCs w:val="24"/>
          <w:highlight w:val="white"/>
          <w:rtl w:val="0"/>
        </w:rPr>
        <w:t>BRASIL. Lei nº 9.605, de 12 de fevereiro de 1998. Dispõe sobre as sanções penais e administrativas derivadas de condutas e atividades lesivas ao meio ambiente, e dá outras providências. </w:t>
      </w:r>
      <w:r w:rsidRPr="00000000">
        <w:rPr>
          <w:b/>
          <w:sz w:val="24"/>
          <w:szCs w:val="24"/>
          <w:highlight w:val="white"/>
          <w:rtl w:val="0"/>
        </w:rPr>
        <w:t>Lei de Crimes Ambientais</w:t>
      </w:r>
      <w:r w:rsidRPr="00000000">
        <w:rPr>
          <w:sz w:val="24"/>
          <w:szCs w:val="24"/>
          <w:highlight w:val="white"/>
          <w:rtl w:val="0"/>
        </w:rPr>
        <w:t>. Brasília, DF.</w:t>
      </w:r>
    </w:p>
    <w:p w:rsidR="00000000" w:rsidRPr="00000000" w:rsidP="00000000" w14:paraId="0000002D">
      <w:pPr>
        <w:jc w:val="both"/>
        <w:rPr>
          <w:b w:val="0"/>
          <w:sz w:val="24"/>
          <w:szCs w:val="24"/>
        </w:rPr>
      </w:pPr>
    </w:p>
    <w:p w:rsidR="00000000" w:rsidRPr="00000000" w:rsidP="00000000" w14:paraId="0000002E">
      <w:pPr>
        <w:jc w:val="both"/>
        <w:rPr>
          <w:b w:val="0"/>
          <w:sz w:val="24"/>
          <w:szCs w:val="24"/>
        </w:rPr>
      </w:pPr>
      <w:r w:rsidRPr="00000000">
        <w:rPr>
          <w:sz w:val="24"/>
          <w:szCs w:val="24"/>
          <w:highlight w:val="white"/>
          <w:rtl w:val="0"/>
        </w:rPr>
        <w:t>BRASIL. Lei nº 10.257, de 10 de julho de 2001. Regulamenta os arts. 182 e 183 da Constituição Federal, estabelece diretrizes gerais da política urbana e dá outras providências. </w:t>
      </w:r>
      <w:r w:rsidRPr="00000000">
        <w:rPr>
          <w:b/>
          <w:sz w:val="24"/>
          <w:szCs w:val="24"/>
          <w:highlight w:val="white"/>
          <w:rtl w:val="0"/>
        </w:rPr>
        <w:t>Estatuto da Cidade</w:t>
      </w:r>
      <w:r w:rsidRPr="00000000">
        <w:rPr>
          <w:sz w:val="24"/>
          <w:szCs w:val="24"/>
          <w:highlight w:val="white"/>
          <w:rtl w:val="0"/>
        </w:rPr>
        <w:t>. Brasília, DF.</w:t>
      </w:r>
    </w:p>
    <w:p w:rsidR="00000000" w:rsidRPr="00000000" w:rsidP="00000000" w14:paraId="0000002F">
      <w:pPr>
        <w:jc w:val="both"/>
        <w:rPr>
          <w:b w:val="0"/>
          <w:sz w:val="24"/>
          <w:szCs w:val="24"/>
        </w:rPr>
      </w:pPr>
    </w:p>
    <w:p w:rsidR="00000000" w:rsidRPr="00000000" w:rsidP="00000000" w14:paraId="00000030">
      <w:pPr>
        <w:jc w:val="both"/>
        <w:rPr>
          <w:b w:val="0"/>
          <w:sz w:val="24"/>
          <w:szCs w:val="24"/>
        </w:rPr>
      </w:pPr>
      <w:r w:rsidRPr="00000000">
        <w:rPr>
          <w:b w:val="0"/>
          <w:sz w:val="24"/>
          <w:szCs w:val="24"/>
          <w:rtl w:val="0"/>
        </w:rPr>
        <w:t>MOGI MIRIM. Câmara Municipal. Resolução nº 276, de 09 de novembro de 2010. Dispõe sobre o Regimento Interno da Câmara Municipal de Mogi Mirim. Mogi Mirim, 2010.</w:t>
      </w:r>
    </w:p>
    <w:p w:rsidR="00000000" w:rsidRPr="00000000" w:rsidP="00000000" w14:paraId="00000031">
      <w:pPr>
        <w:jc w:val="both"/>
        <w:rPr>
          <w:b w:val="0"/>
          <w:sz w:val="24"/>
          <w:szCs w:val="24"/>
        </w:rPr>
      </w:pPr>
    </w:p>
    <w:p w:rsidR="00000000" w:rsidRPr="00000000" w:rsidP="00000000" w14:paraId="00000032">
      <w:pPr>
        <w:jc w:val="both"/>
        <w:rPr>
          <w:sz w:val="24"/>
          <w:szCs w:val="24"/>
          <w:highlight w:val="white"/>
        </w:rPr>
      </w:pPr>
      <w:r w:rsidRPr="00000000">
        <w:rPr>
          <w:sz w:val="24"/>
          <w:szCs w:val="24"/>
          <w:highlight w:val="white"/>
          <w:rtl w:val="0"/>
        </w:rPr>
        <w:t>SÃO PAULO. Constituição do Estado. 05 de outubro de 1989. </w:t>
      </w:r>
      <w:r w:rsidRPr="00000000">
        <w:rPr>
          <w:b/>
          <w:sz w:val="24"/>
          <w:szCs w:val="24"/>
          <w:highlight w:val="white"/>
          <w:rtl w:val="0"/>
        </w:rPr>
        <w:t>Constituição Estadual</w:t>
      </w:r>
      <w:r w:rsidRPr="00000000">
        <w:rPr>
          <w:sz w:val="24"/>
          <w:szCs w:val="24"/>
          <w:highlight w:val="white"/>
          <w:rtl w:val="0"/>
        </w:rPr>
        <w:t>. São Paulo, SP.</w:t>
      </w:r>
    </w:p>
    <w:p w:rsidR="00000000" w:rsidRPr="00000000" w:rsidP="00000000" w14:paraId="00000033">
      <w:pPr>
        <w:jc w:val="both"/>
        <w:rPr>
          <w:sz w:val="24"/>
          <w:szCs w:val="24"/>
          <w:highlight w:val="white"/>
        </w:rPr>
      </w:pPr>
    </w:p>
    <w:p w:rsidR="00000000" w:rsidRPr="00000000" w:rsidP="00000000" w14:paraId="00000034">
      <w:pPr>
        <w:jc w:val="both"/>
        <w:rPr>
          <w:b w:val="0"/>
          <w:sz w:val="24"/>
          <w:szCs w:val="24"/>
        </w:rPr>
      </w:pPr>
      <w:r w:rsidRPr="00000000">
        <w:rPr>
          <w:sz w:val="24"/>
          <w:szCs w:val="24"/>
          <w:highlight w:val="white"/>
          <w:rtl w:val="0"/>
        </w:rPr>
        <w:t>SÃO PAULO. Decreto nº 64.553, de 01 de novembro de 2019. Cria e organiza, na Secretaria da Saúde, a Coordenadoria de Defesa e Saúde Animal, dispõe sobre a subordinação da unidade que especifica e dá providências correlatas. São Paulo, SP.</w:t>
      </w:r>
      <w:r w:rsidRPr="00000000">
        <w:br w:type="page"/>
      </w:r>
    </w:p>
    <w:p w:rsidR="00000000" w:rsidRPr="00000000" w:rsidP="00000000" w14:paraId="00000035">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i w:val="0"/>
          <w:smallCaps w:val="0"/>
          <w:strike w:val="0"/>
          <w:color w:val="404040"/>
          <w:sz w:val="24"/>
          <w:szCs w:val="24"/>
          <w:u w:val="none"/>
          <w:shd w:val="clear" w:color="auto" w:fill="auto"/>
          <w:vertAlign w:val="baseline"/>
        </w:rPr>
      </w:pPr>
    </w:p>
    <w:p w:rsidR="00000000" w:rsidRPr="00000000" w:rsidP="00000000" w14:paraId="00000036">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center"/>
        <w:rPr>
          <w:rFonts w:ascii="Times New Roman" w:eastAsia="Times New Roman" w:hAnsi="Times New Roman" w:cs="Times New Roman"/>
          <w:b w:val="0"/>
          <w:i w:val="0"/>
          <w:smallCaps w:val="0"/>
          <w:strike w:val="0"/>
          <w:color w:val="404040"/>
          <w:sz w:val="24"/>
          <w:szCs w:val="24"/>
          <w:u w:val="none"/>
          <w:shd w:val="clear" w:color="auto" w:fill="auto"/>
          <w:vertAlign w:val="baseline"/>
        </w:rPr>
      </w:pPr>
      <w:r w:rsidRPr="00000000">
        <w:rPr>
          <w:rFonts w:ascii="Times New Roman" w:eastAsia="Times New Roman" w:hAnsi="Times New Roman" w:cs="Times New Roman"/>
          <w:b/>
          <w:i w:val="0"/>
          <w:smallCaps w:val="0"/>
          <w:strike w:val="0"/>
          <w:color w:val="404040"/>
          <w:sz w:val="24"/>
          <w:szCs w:val="24"/>
          <w:u w:val="none"/>
          <w:shd w:val="clear" w:color="auto" w:fill="auto"/>
          <w:vertAlign w:val="baseline"/>
          <w:rtl w:val="0"/>
        </w:rPr>
        <w:t>PARECER DA COMISSÃO DE JUSTIÇA E AO PROJETO DE LEI Nº 153/2025</w:t>
      </w:r>
    </w:p>
    <w:p w:rsidR="00000000" w:rsidRPr="00000000" w:rsidP="00000000" w14:paraId="00000037">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bookmarkStart w:id="0" w:name="_heading=h.en20v52suhyl" w:colFirst="0" w:colLast="0"/>
      <w:bookmarkEnd w:id="0"/>
      <w:r w:rsidRPr="00000000">
        <w:rPr>
          <w:rFonts w:ascii="Times New Roman" w:eastAsia="Times New Roman" w:hAnsi="Times New Roman" w:cs="Times New Roman"/>
          <w:b w:val="0"/>
          <w:i w:val="0"/>
          <w:smallCaps w:val="0"/>
          <w:strike w:val="0"/>
          <w:color w:val="404040"/>
          <w:sz w:val="24"/>
          <w:szCs w:val="24"/>
          <w:u w:val="none"/>
          <w:shd w:val="clear" w:color="auto" w:fill="auto"/>
          <w:vertAlign w:val="baseline"/>
          <w:rtl w:val="0"/>
        </w:rPr>
        <w:tab/>
      </w: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 xml:space="preserve">A Comissão de Justiça e Redação, no uso de suas atribuições regimentais, nos termos do art. 35 da Resolução nº 276, de 09 de novembro de 2010 (Regimento Interno da Câmara Municipal de Mogi Mirim), após análise do Projeto de Lei nº 153 de 2025, de autoria do Vereador Luiz Fernando Saviano, </w:t>
      </w:r>
      <w:r w:rsidRPr="00000000">
        <w:rPr>
          <w:rFonts w:ascii="Times New Roman" w:eastAsia="Times New Roman" w:hAnsi="Times New Roman" w:cs="Times New Roman"/>
          <w:b/>
          <w:i w:val="0"/>
          <w:smallCaps w:val="0"/>
          <w:strike w:val="0"/>
          <w:color w:val="000000"/>
          <w:sz w:val="24"/>
          <w:szCs w:val="24"/>
          <w:u w:val="none"/>
          <w:shd w:val="clear" w:color="auto" w:fill="auto"/>
          <w:vertAlign w:val="baseline"/>
          <w:rtl w:val="0"/>
        </w:rPr>
        <w:t>opina favoravelmente à sua aprovação</w:t>
      </w: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 considerando que a matéria está em conformidade com as normas constitucionais, legais e regimentais aplicáveis.</w:t>
      </w:r>
    </w:p>
    <w:p w:rsidR="00000000" w:rsidRPr="00000000" w:rsidP="00000000" w14:paraId="00000038">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ab/>
        <w:t>A proposição institui o Programa Municipal “AlimentaCÃO</w:t>
      </w:r>
      <w:r w:rsidRPr="00000000">
        <w:rPr>
          <w:rFonts w:ascii="Times New Roman" w:eastAsia="Times New Roman" w:hAnsi="Times New Roman" w:cs="Times New Roman"/>
          <w:b/>
          <w:i w:val="0"/>
          <w:smallCaps w:val="0"/>
          <w:strike w:val="0"/>
          <w:color w:val="000000"/>
          <w:sz w:val="24"/>
          <w:szCs w:val="24"/>
          <w:u w:val="none"/>
          <w:shd w:val="clear" w:color="auto" w:fill="auto"/>
          <w:vertAlign w:val="baseline"/>
          <w:rtl w:val="0"/>
        </w:rPr>
        <w:t>”</w:t>
      </w: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 que autoriza a instalação de comedouros e bebedouros públicos destinados a cães e gatos em situação de rua, sem ônus ao Poder Público, mediante parceria com voluntários e entidades que se responsabilizarão pela construção, manutenção e higienização dos equipamentos. O projeto também prevê sanções administrativas a quem danificar os dispositivos, podendo a multa ser convertida em medidas educativas ou prestação de serviço voluntário junto ao Programa Municipal de Bem-Estar Animal (BEA).</w:t>
      </w:r>
    </w:p>
    <w:p w:rsidR="00000000" w:rsidRPr="00000000" w:rsidP="00000000" w14:paraId="00000039">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ab/>
        <w:t>Do ponto de vista jurídico, a proposição é formal e materialmente constitucional e legal, atendendo aos preceitos da Lei Orgânica Municipal, da Constituição Federal (arts. 23, VII, e 225) e da Constituição do Estado de São Paulo (art. 193, X), que impõem aos entes federativos o dever de proteger a fauna e vedar práticas cruéis. Ressalta-se que o projeto possui caráter autorizativo, não cria despesas nem interfere na estrutura administrativa do Executivo, encontrando-se dentro da competência legislativa municipal prevista no art. 30, I e II, da Constituição Federal.</w:t>
      </w:r>
    </w:p>
    <w:p w:rsidR="00000000" w:rsidRPr="00000000" w:rsidP="00000000" w14:paraId="0000003A">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ab/>
        <w:t>O texto também se harmoniza com os princípios da função social e ambiental das cidades (art. 182 da CF) e com as diretrizes do Estatuto da Cidade (Lei Federal nº 10.257/2001), além de reforçar a Política Estadual de Proteção Animal (Decreto Estadual nº 64.553/2019).</w:t>
      </w:r>
    </w:p>
    <w:p w:rsidR="00000000" w:rsidRPr="00000000" w:rsidP="00000000" w14:paraId="0000003B">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ab/>
        <w:t>Diante do exposto, a Comissão conclui que o Projeto de Lei nº 153 de 2025 encontra-se apto para apreciação e deliberação pelo Plenário, recomendando-se apenas que, na fase de regulamentação, o Poder Executivo estabeleça parâmetros sanitários e estéticos em conformidade com as normas da Vigilância Sanitária Municipal e do Conselho Regional de Medicina Veterinária.</w:t>
      </w:r>
    </w:p>
    <w:p w:rsidR="00000000" w:rsidRPr="00000000" w:rsidP="00000000" w14:paraId="0000003C">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center"/>
        <w:rPr>
          <w:rFonts w:ascii="Times New Roman" w:eastAsia="Times New Roman" w:hAnsi="Times New Roman" w:cs="Times New Roman"/>
          <w:b w:val="0"/>
          <w:i w:val="0"/>
          <w:smallCaps w:val="0"/>
          <w:strike w:val="0"/>
          <w:color w:val="404040"/>
          <w:sz w:val="24"/>
          <w:szCs w:val="24"/>
          <w:u w:val="single"/>
          <w:shd w:val="clear" w:color="auto" w:fill="auto"/>
          <w:vertAlign w:val="baseline"/>
        </w:rPr>
      </w:pPr>
      <w:r w:rsidRPr="00000000">
        <w:rPr>
          <w:rFonts w:ascii="Times New Roman" w:eastAsia="Times New Roman" w:hAnsi="Times New Roman" w:cs="Times New Roman"/>
          <w:b/>
          <w:i w:val="0"/>
          <w:smallCaps w:val="0"/>
          <w:strike w:val="0"/>
          <w:color w:val="000000"/>
          <w:sz w:val="24"/>
          <w:szCs w:val="24"/>
          <w:u w:val="single"/>
          <w:shd w:val="clear" w:color="auto" w:fill="auto"/>
          <w:vertAlign w:val="baseline"/>
          <w:rtl w:val="0"/>
        </w:rPr>
        <w:t>COMISSÃO DE JUSTIÇA E REDAÇÃO</w:t>
      </w:r>
    </w:p>
    <w:p w:rsidR="00000000" w:rsidRPr="00000000" w:rsidP="00000000" w14:paraId="0000003D">
      <w:pPr>
        <w:spacing w:before="240" w:line="360" w:lineRule="auto"/>
        <w:jc w:val="center"/>
        <w:rPr>
          <w:sz w:val="24"/>
          <w:szCs w:val="24"/>
        </w:rPr>
      </w:pPr>
      <w:r w:rsidRPr="00000000">
        <w:rPr>
          <w:i/>
          <w:sz w:val="24"/>
          <w:szCs w:val="24"/>
          <w:rtl w:val="0"/>
        </w:rPr>
        <w:t>(assinado digitalmente)</w:t>
        <w:br/>
      </w:r>
      <w:r w:rsidRPr="00000000">
        <w:rPr>
          <w:b/>
          <w:sz w:val="24"/>
          <w:szCs w:val="24"/>
          <w:rtl w:val="0"/>
        </w:rPr>
        <w:t>VEREADOR WAGNER RICARDO PEREIRA</w:t>
        <w:br/>
      </w:r>
      <w:r w:rsidRPr="00000000">
        <w:rPr>
          <w:sz w:val="24"/>
          <w:szCs w:val="24"/>
          <w:rtl w:val="0"/>
        </w:rPr>
        <w:t>Presidente</w:t>
      </w:r>
    </w:p>
    <w:p w:rsidR="00000000" w:rsidRPr="00000000" w:rsidP="00000000" w14:paraId="0000003E">
      <w:pPr>
        <w:spacing w:before="240" w:line="360" w:lineRule="auto"/>
        <w:jc w:val="center"/>
        <w:rPr>
          <w:sz w:val="24"/>
          <w:szCs w:val="24"/>
        </w:rPr>
      </w:pPr>
      <w:r w:rsidRPr="00000000">
        <w:rPr>
          <w:i/>
          <w:sz w:val="24"/>
          <w:szCs w:val="24"/>
          <w:rtl w:val="0"/>
        </w:rPr>
        <w:t>(assinado digitalmente)</w:t>
        <w:br/>
      </w:r>
      <w:r w:rsidRPr="00000000">
        <w:rPr>
          <w:b/>
          <w:sz w:val="24"/>
          <w:szCs w:val="24"/>
          <w:rtl w:val="0"/>
        </w:rPr>
        <w:t>VEREADOR JOÃO VICTOR GASPARINI</w:t>
        <w:br/>
      </w:r>
      <w:r w:rsidRPr="00000000">
        <w:rPr>
          <w:sz w:val="24"/>
          <w:szCs w:val="24"/>
          <w:rtl w:val="0"/>
        </w:rPr>
        <w:t>Vice-Presidente</w:t>
      </w:r>
    </w:p>
    <w:p w:rsidR="00000000" w:rsidRPr="00000000" w:rsidP="00000000" w14:paraId="0000003F">
      <w:pPr>
        <w:spacing w:before="240" w:line="360" w:lineRule="auto"/>
        <w:jc w:val="center"/>
        <w:rPr>
          <w:i/>
          <w:sz w:val="24"/>
          <w:szCs w:val="24"/>
        </w:rPr>
      </w:pPr>
      <w:r w:rsidRPr="00000000">
        <w:rPr>
          <w:i/>
          <w:sz w:val="24"/>
          <w:szCs w:val="24"/>
          <w:rtl w:val="0"/>
        </w:rPr>
        <w:t>(assinado digitalmente)</w:t>
        <w:br/>
      </w:r>
      <w:r w:rsidRPr="00000000">
        <w:rPr>
          <w:b/>
          <w:sz w:val="24"/>
          <w:szCs w:val="24"/>
          <w:rtl w:val="0"/>
        </w:rPr>
        <w:t>VEREADOR WILIANS MENDES DE OLIVEIRA</w:t>
        <w:br/>
      </w:r>
      <w:r w:rsidRPr="00000000">
        <w:rPr>
          <w:sz w:val="24"/>
          <w:szCs w:val="24"/>
          <w:rtl w:val="0"/>
        </w:rPr>
        <w:t>Membro</w:t>
      </w:r>
    </w:p>
    <w:p w:rsidR="00000000" w:rsidRPr="00000000" w:rsidP="00000000" w14:paraId="00000040">
      <w:pPr>
        <w:spacing w:before="240" w:line="360" w:lineRule="auto"/>
        <w:jc w:val="center"/>
        <w:rPr>
          <w:sz w:val="24"/>
          <w:szCs w:val="24"/>
        </w:rPr>
      </w:pPr>
    </w:p>
    <w:p w:rsidR="00000000" w:rsidRPr="00000000" w:rsidP="00000000" w14:paraId="00000041">
      <w:pPr>
        <w:spacing w:before="240" w:line="360" w:lineRule="auto"/>
        <w:jc w:val="center"/>
        <w:rPr>
          <w:sz w:val="24"/>
          <w:szCs w:val="24"/>
        </w:rPr>
      </w:pPr>
    </w:p>
    <w:p w:rsidR="00000000" w:rsidRPr="00000000" w:rsidP="00000000" w14:paraId="00000042">
      <w:pPr>
        <w:spacing w:before="240" w:line="360" w:lineRule="auto"/>
        <w:jc w:val="center"/>
        <w:rPr>
          <w:sz w:val="24"/>
          <w:szCs w:val="24"/>
        </w:rPr>
      </w:pPr>
    </w:p>
    <w:p w:rsidR="00000000" w:rsidRPr="00000000" w:rsidP="00000000" w14:paraId="00000043">
      <w:pPr>
        <w:spacing w:line="360" w:lineRule="auto"/>
        <w:jc w:val="both"/>
        <w:rPr>
          <w:b/>
          <w:sz w:val="24"/>
          <w:szCs w:val="24"/>
          <w:u w:val="single"/>
        </w:rPr>
      </w:pPr>
    </w:p>
    <w:sectPr>
      <w:headerReference w:type="even" r:id="rId5"/>
      <w:headerReference w:type="default" r:id="rId6"/>
      <w:footerReference w:type="default" r:id="rId7"/>
      <w:pgSz w:w="11907" w:h="16840" w:orient="portrait"/>
      <w:pgMar w:top="2127" w:right="1134" w:bottom="1560" w:left="1701" w:header="720" w:footer="72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charset w:val="00"/>
    <w:family w:val="auto"/>
    <w:pitch w:val="default"/>
    <w:embedRegular r:id="rId1" w:fontKey="{D65AFA6F-2D0A-4B3B-940C-90DE527869A2}"/>
  </w:font>
  <w:font w:name="Times New Roman">
    <w:charset w:val="00"/>
    <w:family w:val="auto"/>
    <w:pitch w:val="default"/>
  </w:font>
  <w:font w:name="Arial">
    <w:charset w:val="00"/>
    <w:family w:val="auto"/>
    <w:pitch w:val="default"/>
  </w:font>
  <w:font w:name="Courier New">
    <w:charset w:val="00"/>
    <w:family w:val="auto"/>
    <w:pitch w:val="default"/>
  </w:font>
  <w:font w:name="Bookman Old Style">
    <w:charset w:val="00"/>
    <w:family w:val="auto"/>
    <w:pitch w:val="default"/>
  </w:font>
  <w:font w:name="Noto Sans Symbols">
    <w:charset w:val="00"/>
    <w:family w:val="auto"/>
    <w:pitch w:val="default"/>
    <w:sig w:usb0="00000000" w:usb1="00000000" w:usb2="00000000" w:usb3="00000000" w:csb0="00000001" w:csb1="00000000"/>
    <w:embedRegular r:id="rId2" w:fontKey="{0124F63D-CFC9-4AB7-A536-9327C915371D}"/>
    <w:embedBold r:id="rId3" w:fontKey="{E6875ED7-EAE6-4A86-A96E-F4B29B94B1E1}"/>
  </w:font>
  <w:font w:name="Calibri">
    <w:charset w:val="00"/>
    <w:family w:val="auto"/>
    <w:pitch w:val="default"/>
    <w:embedRegular r:id="rId4" w:fontKey="{B2453A90-DA80-452A-A038-2C8AF9316A8E}"/>
  </w:font>
  <w:font w:name="Cambria">
    <w:charset w:val="00"/>
    <w:family w:val="auto"/>
    <w:pitch w:val="default"/>
    <w:embedRegular r:id="rId5" w:fontKey="{129C6226-DAC5-415F-B4CA-C7BA3BFA05B1}"/>
  </w:font>
  <w:font w:name="Liberation Serif">
    <w:charset w:val="00"/>
    <w:family w:val="auto"/>
    <w:pitch w:val="default"/>
  </w:font>
  <w:font w:name="Lucida Sans">
    <w:charset w:val="00"/>
    <w:family w:val="auto"/>
    <w:pitch w:val="default"/>
    <w:embedRegular r:id="rId6" w:fontKey="{3FA42800-F5E8-47C9-96DF-8CEAB920D674}"/>
  </w:font>
  <w:font w:name="NSimSun">
    <w:charset w:val="00"/>
    <w:family w:val="auto"/>
    <w:pitch w:val="default"/>
  </w:font>
  <w:font w:name="Segoe UI">
    <w:charset w:val="00"/>
    <w:family w:val="auto"/>
    <w:pitch w:val="default"/>
    <w:embedRegular r:id="rId7" w:fontKey="{CE2EC81F-1AB2-4496-8CD0-0F3D1ABE65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49">
    <w:pPr>
      <w:pBdr>
        <w:top w:val="nil"/>
        <w:left w:val="nil"/>
        <w:bottom w:val="nil"/>
        <w:right w:val="nil"/>
        <w:between w:val="nil"/>
      </w:pBdr>
      <w:tabs>
        <w:tab w:val="center" w:pos="4419"/>
        <w:tab w:val="right" w:pos="8838"/>
      </w:tabs>
      <w:jc w:val="center"/>
      <w:rPr>
        <w:b/>
        <w:color w:val="000000"/>
        <w:sz w:val="18"/>
        <w:szCs w:val="18"/>
      </w:rPr>
    </w:pPr>
  </w:p>
  <w:p w:rsidR="00000000" w:rsidRPr="00000000" w:rsidP="00000000" w14:paraId="0000004A">
    <w:pPr>
      <w:pBdr>
        <w:top w:val="nil"/>
        <w:left w:val="nil"/>
        <w:bottom w:val="nil"/>
        <w:right w:val="nil"/>
        <w:between w:val="nil"/>
      </w:pBdr>
      <w:tabs>
        <w:tab w:val="center" w:pos="4419"/>
        <w:tab w:val="right" w:pos="8838"/>
      </w:tabs>
      <w:jc w:val="center"/>
      <w:rPr>
        <w:b/>
        <w:color w:val="000000"/>
        <w:sz w:val="18"/>
        <w:szCs w:val="18"/>
      </w:rPr>
    </w:pPr>
  </w:p>
  <w:p w:rsidR="00000000" w:rsidRPr="00000000" w:rsidP="00000000" w14:paraId="0000004B">
    <w:pPr>
      <w:pBdr>
        <w:top w:val="nil"/>
        <w:left w:val="nil"/>
        <w:bottom w:val="nil"/>
        <w:right w:val="nil"/>
        <w:between w:val="nil"/>
      </w:pBdr>
      <w:tabs>
        <w:tab w:val="center" w:pos="4419"/>
        <w:tab w:val="right" w:pos="8838"/>
      </w:tabs>
      <w:jc w:val="center"/>
      <w:rPr>
        <w:b/>
        <w:color w:val="000000"/>
        <w:sz w:val="18"/>
        <w:szCs w:val="18"/>
      </w:rPr>
    </w:pPr>
    <w:r w:rsidRPr="00000000">
      <w:rPr>
        <w:b/>
        <w:color w:val="000000"/>
        <w:sz w:val="18"/>
        <w:szCs w:val="18"/>
        <w:rtl w:val="0"/>
      </w:rPr>
      <w:t>Rua Dr. José Alves, 129 - Centro - Fone: (019) 3814.1200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44">
    <w:pPr>
      <w:pBdr>
        <w:top w:val="nil"/>
        <w:left w:val="nil"/>
        <w:bottom w:val="nil"/>
        <w:right w:val="nil"/>
        <w:between w:val="nil"/>
      </w:pBdr>
      <w:tabs>
        <w:tab w:val="center" w:pos="4419"/>
        <w:tab w:val="right" w:pos="8838"/>
      </w:tabs>
      <w:jc w:val="right"/>
      <w:rPr>
        <w:color w:val="000000"/>
      </w:rPr>
    </w:pPr>
    <w:r w:rsidRPr="00000000">
      <w:rPr>
        <w:color w:val="000000"/>
      </w:rPr>
      <w:fldChar w:fldCharType="begin"/>
    </w:r>
    <w:r w:rsidRPr="00000000">
      <w:rPr>
        <w:color w:val="000000"/>
      </w:rPr>
      <w:instrText>PAGE</w:instrText>
    </w:r>
    <w:r w:rsidRPr="00000000">
      <w:rPr>
        <w:color w:val="000000"/>
      </w:rPr>
      <w:fldChar w:fldCharType="separate"/>
    </w:r>
    <w:r w:rsidRPr="00000000">
      <w:rPr>
        <w:color w:val="000000"/>
      </w:rPr>
      <w:fldChar w:fldCharType="end"/>
    </w:r>
  </w:p>
  <w:p w:rsidR="00000000" w:rsidRPr="00000000" w:rsidP="00000000" w14:paraId="00000045">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46">
    <w:pPr>
      <w:pBdr>
        <w:top w:val="nil"/>
        <w:left w:val="nil"/>
        <w:bottom w:val="nil"/>
        <w:right w:val="nil"/>
        <w:between w:val="nil"/>
      </w:pBdr>
      <w:tabs>
        <w:tab w:val="center" w:pos="4419"/>
        <w:tab w:val="right" w:pos="7513"/>
        <w:tab w:val="right" w:pos="8838"/>
      </w:tabs>
      <w:jc w:val="center"/>
      <w:rPr>
        <w:rFonts w:ascii="Bookman Old Style" w:eastAsia="Bookman Old Style" w:hAnsi="Bookman Old Style" w:cs="Bookman Old Style"/>
        <w:b/>
        <w:color w:val="000000"/>
        <w:sz w:val="24"/>
        <w:szCs w:val="24"/>
      </w:rPr>
    </w:pPr>
    <w:r w:rsidRPr="00000000">
      <w:rPr>
        <w:rFonts w:ascii="Bookman Old Style" w:eastAsia="Bookman Old Style" w:hAnsi="Bookman Old Style" w:cs="Bookman Old Style"/>
        <w:b/>
        <w:color w:val="000000"/>
        <w:sz w:val="24"/>
        <w:szCs w:val="24"/>
        <w:rtl w:val="0"/>
      </w:rPr>
      <w:t>Estado de São Paulo</w:t>
    </w:r>
    <w:r w:rsidRPr="00000000">
      <w:drawing>
        <wp:anchor distT="0" distB="0" distL="114300" distR="114300" simplePos="0" relativeHeight="251658240" behindDoc="0" locked="0" layoutInCell="1" allowOverlap="1">
          <wp:simplePos x="0" y="0"/>
          <wp:positionH relativeFrom="column">
            <wp:posOffset>-923924</wp:posOffset>
          </wp:positionH>
          <wp:positionV relativeFrom="paragraph">
            <wp:posOffset>-247649</wp:posOffset>
          </wp:positionV>
          <wp:extent cx="1341380" cy="942975"/>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657191489" name="image1.png"/>
                  <pic:cNvPicPr/>
                </pic:nvPicPr>
                <pic:blipFill>
                  <a:blip xmlns:r="http://schemas.openxmlformats.org/officeDocument/2006/relationships" r:embed="rId1"/>
                  <a:stretch>
                    <a:fillRect/>
                  </a:stretch>
                </pic:blipFill>
                <pic:spPr>
                  <a:xfrm>
                    <a:off x="0" y="0"/>
                    <a:ext cx="1341380" cy="942975"/>
                  </a:xfrm>
                  <a:prstGeom prst="rect">
                    <a:avLst/>
                  </a:prstGeom>
                </pic:spPr>
              </pic:pic>
            </a:graphicData>
          </a:graphic>
        </wp:anchor>
      </w:drawing>
    </w:r>
  </w:p>
  <w:p w:rsidR="00000000" w:rsidRPr="00000000" w:rsidP="00000000" w14:paraId="00000047">
    <w:pPr>
      <w:pBdr>
        <w:top w:val="nil"/>
        <w:left w:val="nil"/>
        <w:bottom w:val="nil"/>
        <w:right w:val="nil"/>
        <w:between w:val="nil"/>
      </w:pBdr>
      <w:ind w:right="360"/>
      <w:jc w:val="center"/>
      <w:rPr>
        <w:rFonts w:ascii="Bookman Old Style" w:eastAsia="Bookman Old Style" w:hAnsi="Bookman Old Style" w:cs="Bookman Old Style"/>
        <w:b/>
        <w:color w:val="000000"/>
        <w:sz w:val="36"/>
        <w:szCs w:val="36"/>
      </w:rPr>
    </w:pPr>
    <w:r w:rsidRPr="00000000">
      <w:rPr>
        <w:rFonts w:ascii="Bookman Old Style" w:eastAsia="Bookman Old Style" w:hAnsi="Bookman Old Style" w:cs="Bookman Old Style"/>
        <w:b/>
        <w:color w:val="000000"/>
        <w:sz w:val="36"/>
        <w:szCs w:val="36"/>
        <w:rtl w:val="0"/>
      </w:rPr>
      <w:t>CÂMARA MUNICIPAL DE MOGI MIRIM</w:t>
    </w:r>
  </w:p>
  <w:p w:rsidR="00000000" w:rsidRPr="00000000" w:rsidP="00000000" w14:paraId="00000048">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A0C5164"/>
    <w:multiLevelType w:val="hybridMultilevel"/>
    <w:tmpl w:val="000000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tblPr>
      <w:tblCellMar>
        <w:top w:w="100" w:type="dxa"/>
        <w:left w:w="100" w:type="dxa"/>
        <w:bottom w:w="100" w:type="dxa"/>
        <w:right w:w="100" w:type="dxa"/>
      </w:tblCellMar>
    </w:tblPr>
  </w:style>
  <w:style w:type="numbering" w:default="1" w:styleId="NoList">
    <w:name w:val="No List"/>
    <w:uiPriority w:val="99"/>
    <w:semiHidden/>
    <w:unhideWhenUsed/>
  </w:style>
  <w:style w:type="paragraph" w:styleId="Title">
    <w:name w:val="Title"/>
    <w:basedOn w:val="Normal"/>
    <w:next w:val="Normal"/>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uiPriority w:val="99"/>
    <w:semiHidden/>
    <w:unhideWhenUsed/>
    <w:tblPr>
      <w:tblInd w:w="0" w:type="dxa"/>
      <w:tblCellMar>
        <w:top w:w="0" w:type="dxa"/>
        <w:left w:w="108" w:type="dxa"/>
        <w:bottom w:w="0" w:type="dxa"/>
        <w:right w:w="108" w:type="dxa"/>
      </w:tblCellMar>
    </w:tblPr>
  </w:style>
  <w:style w:type="table" w:customStyle="1" w:styleId="TableNormal00">
    <w:name w:val="Table Normal_0"/>
    <w:tblPr>
      <w:tblCellMar>
        <w:top w:w="0" w:type="dxa"/>
        <w:left w:w="0" w:type="dxa"/>
        <w:bottom w:w="0" w:type="dxa"/>
        <w:right w:w="0" w:type="dxa"/>
      </w:tblCellMar>
    </w:tbl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0"/>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relative">
    <w:name w:val="relative"/>
    <w:basedOn w:val="DefaultParagraphFont"/>
    <w:rsid w:val="007029F5"/>
  </w:style>
  <w:style w:type="paragraph" w:customStyle="1" w:styleId="not-prose">
    <w:name w:val="not-prose"/>
    <w:basedOn w:val="Normal"/>
    <w:rsid w:val="007029F5"/>
    <w:pPr>
      <w:spacing w:before="100" w:beforeAutospacing="1" w:after="100" w:afterAutospacing="1"/>
    </w:pPr>
    <w:rPr>
      <w:sz w:val="24"/>
      <w:szCs w:val="24"/>
    </w:rPr>
  </w:style>
  <w:style w:type="paragraph" w:styleId="Subtitle">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LEqm372vKmP1WRbOjpJUA2Pniw==">CgMxLjAyDmguZW4yMHY1MnN1aHlsOAByITFIT2h0WUxZRDNHWTYzakUzMGN4YXJnaGtvY3cwTXpyOQ==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revision>0</cp:revision>
  <dcterms:created xsi:type="dcterms:W3CDTF">2025-10-30T13:38:00Z</dcterms:created>
</cp:coreProperties>
</file>