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912E2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912E2B" w14:paraId="7C19DA44" w14:textId="229CC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C956A7" w:rsidP="00C956A7" w14:paraId="310FA6F0" w14:textId="239AC240">
      <w:pPr>
        <w:pStyle w:val="NormalWeb"/>
        <w:spacing w:line="360" w:lineRule="auto"/>
        <w:rPr>
          <w:rStyle w:val="Emphasis"/>
        </w:rPr>
      </w:pPr>
      <w:r>
        <w:rPr>
          <w:rStyle w:val="Strong"/>
        </w:rPr>
        <w:t>PROJETO DE LEI Nº 150</w:t>
      </w:r>
      <w:r w:rsidRPr="00D85ED2" w:rsidR="00F74441">
        <w:rPr>
          <w:rStyle w:val="Strong"/>
        </w:rPr>
        <w:t xml:space="preserve"> DE 2025</w:t>
      </w:r>
    </w:p>
    <w:p w:rsidR="00F74441" w:rsidRPr="00D85ED2" w:rsidP="00C956A7" w14:paraId="4DE9CBF8" w14:textId="285A738D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Institui, no Município de Mogi Mirim, o Programa “Doadores do Futuro” e dá outras providências. </w:t>
      </w:r>
    </w:p>
    <w:p w:rsidR="00F74441" w:rsidRPr="00D85ED2" w:rsidP="003D6D21" w14:paraId="1D42C3C2" w14:textId="19961113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C956A7">
        <w:rPr>
          <w:rStyle w:val="Strong"/>
        </w:rPr>
        <w:t xml:space="preserve"> VEREADOR WILIANS MENDES DE OLIVEIRA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P="003D6D21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062165" w:rsidRPr="00062165" w:rsidP="00062165" w14:paraId="031AE4CD" w14:textId="77777777"/>
    <w:p w:rsidR="001902E0" w:rsidRPr="00D85ED2" w:rsidP="00062165" w14:paraId="15F67277" w14:textId="4E6B6484">
      <w:pPr>
        <w:pStyle w:val="NormalWeb"/>
        <w:jc w:val="both"/>
        <w:rPr>
          <w:b/>
          <w:bCs/>
        </w:rPr>
      </w:pPr>
      <w:r w:rsidRPr="00D85ED2">
        <w:tab/>
      </w:r>
      <w:r w:rsidR="008B0437">
        <w:t>O Projeto de L</w:t>
      </w:r>
      <w:r w:rsidR="00C956A7">
        <w:t xml:space="preserve">ei nº 150 de 2025, de autoria do Vereador Luiz Fernando </w:t>
      </w:r>
      <w:r w:rsidR="00C956A7">
        <w:t>Saviano</w:t>
      </w:r>
      <w:r w:rsidR="00CA0263">
        <w:t xml:space="preserve">, </w:t>
      </w:r>
      <w:r w:rsidRPr="00D85ED2" w:rsidR="005D21C6">
        <w:t xml:space="preserve">tem por objetivo </w:t>
      </w:r>
      <w:r w:rsidR="00C956A7">
        <w:rPr>
          <w:rStyle w:val="Emphasis"/>
          <w:b/>
        </w:rPr>
        <w:t>instituir o Programa “Doadores do Futuro” no Município de Mogi Mirim.</w:t>
      </w:r>
    </w:p>
    <w:p w:rsidR="003B1A59" w:rsidRPr="00D85ED2" w:rsidP="00062165" w14:paraId="3500C619" w14:textId="145AEF1F">
      <w:pPr>
        <w:pStyle w:val="NormalWeb"/>
        <w:ind w:firstLine="720"/>
        <w:jc w:val="both"/>
      </w:pPr>
      <w:r w:rsidRPr="00062165">
        <w:rPr>
          <w:b/>
        </w:rPr>
        <w:t>O artigo 1º</w:t>
      </w:r>
      <w:r w:rsidRPr="00062165" w:rsidR="00CA0263">
        <w:rPr>
          <w:b/>
        </w:rPr>
        <w:t xml:space="preserve"> </w:t>
      </w:r>
      <w:r w:rsidR="00CA0263">
        <w:t xml:space="preserve">institui o Programa </w:t>
      </w:r>
      <w:r w:rsidR="00C956A7">
        <w:t>no Município, a ser implementado preferencialmente na rede municipal de ensino.</w:t>
      </w:r>
    </w:p>
    <w:p w:rsidR="00F6470D" w:rsidP="00062165" w14:paraId="26C99FC2" w14:textId="085E6CAC">
      <w:pPr>
        <w:pStyle w:val="NormalWeb"/>
        <w:ind w:firstLine="720"/>
        <w:jc w:val="both"/>
      </w:pPr>
      <w:r w:rsidRPr="00062165">
        <w:rPr>
          <w:b/>
        </w:rPr>
        <w:t>O artigo 2°</w:t>
      </w:r>
      <w:r w:rsidRPr="00D85ED2">
        <w:t xml:space="preserve"> </w:t>
      </w:r>
      <w:r w:rsidR="00C956A7">
        <w:t>apresenta os objetivos do programa, sendo eles conscientizar e sensibilizar os alunos sobre a importância da doação voluntária de sangue, por meio de ações educativas como palestras, aulas, campanhas e atividade temáticas</w:t>
      </w:r>
      <w:r w:rsidR="002B7E79">
        <w:t xml:space="preserve"> e estimular </w:t>
      </w:r>
      <w:r w:rsidR="001D33FB">
        <w:t xml:space="preserve">os estudantes desde cedo, a empatia, solidariedade e responsabilidade social, visando à formação de futuros doadores de sangue. </w:t>
      </w:r>
    </w:p>
    <w:p w:rsidR="00C92AE6" w:rsidP="00062165" w14:paraId="3F0D1C47" w14:textId="026A6A29">
      <w:pPr>
        <w:pStyle w:val="NormalWeb"/>
        <w:ind w:firstLine="720"/>
        <w:jc w:val="both"/>
      </w:pPr>
      <w:r w:rsidRPr="00062165">
        <w:rPr>
          <w:b/>
        </w:rPr>
        <w:t>O artigo 3º</w:t>
      </w:r>
      <w:r>
        <w:t xml:space="preserve"> </w:t>
      </w:r>
      <w:r w:rsidR="001D33FB">
        <w:t xml:space="preserve">estabelece que as modalidades do sistema educacional que receberão as atividades de conscientização serão definidas pelos órgãos competentes do Poder Público, respeitando-se as características e necessidades de cada faixa etária. </w:t>
      </w:r>
    </w:p>
    <w:p w:rsidR="001D33FB" w:rsidRPr="00D85ED2" w:rsidP="00062165" w14:paraId="02EFB0A0" w14:textId="16534333">
      <w:pPr>
        <w:pStyle w:val="NormalWeb"/>
        <w:ind w:firstLine="720"/>
        <w:jc w:val="both"/>
      </w:pPr>
      <w:r w:rsidRPr="00062165">
        <w:rPr>
          <w:b/>
        </w:rPr>
        <w:t>O artigo 4°</w:t>
      </w:r>
      <w:r>
        <w:t xml:space="preserve"> </w:t>
      </w:r>
      <w:r>
        <w:t xml:space="preserve">autoriza o Poder Executivo a promover campanhas, eventos educativos e outras ações pertinentes, definindo os métodos de implementação do programa e permitindo, inclusive, a realização de parcerias com instituições públicas e privadas da área da saúde e doação de sangue. </w:t>
      </w:r>
    </w:p>
    <w:p w:rsidR="00E978F5" w:rsidP="00062165" w14:paraId="12586F0E" w14:textId="216DEEF1">
      <w:pPr>
        <w:pStyle w:val="NormalWeb"/>
        <w:jc w:val="both"/>
      </w:pPr>
      <w:r w:rsidRPr="00D85ED2">
        <w:tab/>
      </w:r>
      <w:r w:rsidRPr="00062165" w:rsidR="008A3EC3">
        <w:rPr>
          <w:b/>
        </w:rPr>
        <w:t>O artigo 5º</w:t>
      </w:r>
      <w:r w:rsidR="008A3EC3">
        <w:t xml:space="preserve"> </w:t>
      </w:r>
      <w:r w:rsidR="001D33FB">
        <w:t xml:space="preserve">prevê a ampla divulgação do programa, bem como a organização de calendário de atividades. </w:t>
      </w:r>
    </w:p>
    <w:p w:rsidR="001D33FB" w:rsidRPr="00D85ED2" w:rsidP="00062165" w14:paraId="1174691F" w14:textId="5E8ADB8D">
      <w:pPr>
        <w:pStyle w:val="NormalWeb"/>
        <w:jc w:val="both"/>
      </w:pPr>
      <w:r>
        <w:tab/>
      </w:r>
      <w:r w:rsidRPr="00062165">
        <w:rPr>
          <w:b/>
        </w:rPr>
        <w:t>O artigo 6°</w:t>
      </w:r>
      <w:r>
        <w:t xml:space="preserve"> declara que as despesas decorrentes da execução da Lei, que correrão por conta de dotações orçamentárias próprias. </w:t>
      </w:r>
    </w:p>
    <w:p w:rsidR="005B27A9" w:rsidRPr="00D85ED2" w:rsidP="00062165" w14:paraId="7D77A827" w14:textId="087F946E">
      <w:pPr>
        <w:pStyle w:val="NormalWeb"/>
        <w:ind w:firstLine="720"/>
        <w:jc w:val="both"/>
      </w:pPr>
      <w:r>
        <w:t xml:space="preserve">Por último, </w:t>
      </w:r>
      <w:r w:rsidRPr="00062165">
        <w:rPr>
          <w:b/>
        </w:rPr>
        <w:t>o artigo 7</w:t>
      </w:r>
      <w:r w:rsidRPr="00062165" w:rsidR="008677CB">
        <w:rPr>
          <w:b/>
        </w:rPr>
        <w:t>º</w:t>
      </w:r>
      <w:r w:rsidRPr="00D85ED2" w:rsidR="008677CB">
        <w:t xml:space="preserve">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74441" w:rsidRPr="00D85ED2" w:rsidP="00062165" w14:paraId="452BB01C" w14:textId="39C82DE4">
      <w:pPr>
        <w:pStyle w:val="NormalWeb"/>
        <w:ind w:firstLine="720"/>
        <w:jc w:val="both"/>
      </w:pPr>
      <w:r>
        <w:t xml:space="preserve"> </w:t>
      </w:r>
      <w:r w:rsidR="009C5903">
        <w:t xml:space="preserve">Em justificativa apresentada, </w:t>
      </w:r>
      <w:r w:rsidR="001D33FB">
        <w:t xml:space="preserve">destaca-se a relevância social e educativa do programa, considerando as dificuldades enfrentadas pelos hemocentros em manter os estoques de sangue e a importância de formas desde cedo uma consciência solidária </w:t>
      </w:r>
      <w:r w:rsidR="00B66C8B">
        <w:t xml:space="preserve">das novas gerações. </w:t>
      </w:r>
      <w:r w:rsidR="00015671">
        <w:t xml:space="preserve">Argumenta que o ambiente escolar é propício à construção de valores como empatia e responsabilidade, tornando o programa um instrumento preventivo e formador de uma comunidade conscientes e comprometidas com o bem coletivo. 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062165" w14:paraId="1A5705A5" w14:textId="1AC55FBF">
      <w:pPr>
        <w:pStyle w:val="NormalWeb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015671">
        <w:t xml:space="preserve">150 </w:t>
      </w:r>
      <w:r w:rsidRPr="00D85ED2" w:rsidR="003B1A59">
        <w:t>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2A5400" w:rsidP="00062165" w14:paraId="6EFC0146" w14:textId="76165DDF">
      <w:pPr>
        <w:pStyle w:val="NormalWeb"/>
        <w:ind w:firstLine="720"/>
        <w:jc w:val="both"/>
      </w:pPr>
      <w:r w:rsidRPr="00D85ED2">
        <w:t xml:space="preserve">Aos Municípios é assegurado </w:t>
      </w:r>
      <w:r w:rsidR="00783794">
        <w:t xml:space="preserve">o exercício pleno </w:t>
      </w:r>
      <w:r w:rsidR="00B254C5">
        <w:t>da competência de legislar sobre assuntos de interesse local, de acordo com o artigo 30</w:t>
      </w:r>
      <w:r w:rsidR="00C11FA2">
        <w:t>, in</w:t>
      </w:r>
      <w:r w:rsidR="00B703AF">
        <w:t>ciso I da Constituição Federal</w:t>
      </w:r>
      <w:r w:rsidR="00451F2D">
        <w:t xml:space="preserve">. </w:t>
      </w:r>
      <w:r w:rsidR="00015671">
        <w:t xml:space="preserve">A presente proposta insere-se neste contexto, uma vez que trata de política pública de educação e saúde preventiva, voltada à formação e promoção de valores sociais relevantes à comunidade local. </w:t>
      </w:r>
    </w:p>
    <w:p w:rsidR="008D2D08" w:rsidP="00062165" w14:paraId="6ADAD7F6" w14:textId="73C354FC">
      <w:pPr>
        <w:pStyle w:val="NormalWeb"/>
        <w:ind w:firstLine="720"/>
        <w:jc w:val="both"/>
      </w:pPr>
      <w:r>
        <w:t xml:space="preserve">Desse modo, </w:t>
      </w:r>
      <w:r w:rsidR="00A955C8">
        <w:t xml:space="preserve">iniciativa parlamentar que instituem programas municipais de caráter educativo, informativo ou social não invadem a esfera de competência privativa do Poder Executivo, desde que se limitem a estabelecer princípios e finalidade, sem </w:t>
      </w:r>
      <w:r w:rsidR="00AA56B9">
        <w:t>interferir na</w:t>
      </w:r>
      <w:r w:rsidR="00A955C8">
        <w:t xml:space="preserve"> gestão administrativa. </w:t>
      </w:r>
    </w:p>
    <w:p w:rsidR="00434FA8" w:rsidP="00062165" w14:paraId="13F7007D" w14:textId="77777777">
      <w:pPr>
        <w:pStyle w:val="NormalWeb"/>
        <w:ind w:firstLine="720"/>
        <w:jc w:val="both"/>
      </w:pPr>
      <w:r>
        <w:t xml:space="preserve">Tal entendimento encontra respaldo na jurisprudência do Supremo Tribunal Federal, conforme decidido no RE 878.911, Repercussão Geral (Tema n° 917), ao firmar que </w:t>
      </w:r>
      <w:r w:rsidRPr="00E464A8">
        <w:t>“não usurpa a competência privativa do chefe do Poder Executivo lei que, embora crie despesa para a Administração Pública, não trata da sua estrutura ou da atribuição de seus órgãos nem do regime jurídico de servidores públicos”.</w:t>
      </w:r>
    </w:p>
    <w:p w:rsidR="00434FA8" w:rsidP="00062165" w14:paraId="0DBA689D" w14:textId="213BDA6A">
      <w:pPr>
        <w:pStyle w:val="NormalWeb"/>
        <w:ind w:firstLine="720"/>
        <w:jc w:val="both"/>
      </w:pPr>
      <w:r>
        <w:t>Ainda, o Tribunal de Justiça do Estado de São Paulo, tem reconhecido a validade de leis municipais de iniciativa parlamentar que criam programas educativos e de conscientização, desde que não imponham obrigações diretas ao Executivo,</w:t>
      </w:r>
      <w:r w:rsidR="00153447">
        <w:t xml:space="preserve"> segundo Ação Direta de Inconstitucionalidade (ADI n° 2122354-56.2024.8.26.0000).</w:t>
      </w:r>
    </w:p>
    <w:p w:rsidR="00B445C5" w:rsidP="00062165" w14:paraId="1036CA29" w14:textId="23D34BE7">
      <w:pPr>
        <w:pStyle w:val="NormalWeb"/>
        <w:ind w:firstLine="720"/>
        <w:jc w:val="both"/>
      </w:pPr>
      <w:r>
        <w:t xml:space="preserve">Desta forma, o Programa “Doadores do Futuro” não impõe execução administrativa compulsória, apenas autoriza a adoção de medidas educativas de interesse coletivo, respeitando a separação de poderes e a reserva de administração, previstas na Constituição Federal. </w:t>
      </w:r>
    </w:p>
    <w:p w:rsidR="00B445C5" w:rsidP="00062165" w14:paraId="7C139662" w14:textId="724ADC7B">
      <w:pPr>
        <w:pStyle w:val="NormalWeb"/>
        <w:ind w:firstLine="720"/>
        <w:jc w:val="both"/>
      </w:pPr>
      <w:r>
        <w:t>Salienta, que a proposta se alinha aos princípios da dignidade da pessoa humana (art. 1, III, CF), da solidariedade social e do direito à saúde (art. 6 e 196, CF), reforçando o dever estatal e comunitário de promoção de políticas voltadas ao bem-estar e à formação cidadã.</w:t>
      </w:r>
    </w:p>
    <w:p w:rsidR="003B1A59" w:rsidRPr="00D85ED2" w:rsidP="00062165" w14:paraId="37C22377" w14:textId="021399AE">
      <w:pPr>
        <w:pStyle w:val="NormalWeb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734794">
        <w:t>ui-se que o Projeto de Lei n° 150</w:t>
      </w:r>
      <w:r w:rsidR="00BB2C9B">
        <w:t xml:space="preserve"> 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2A5400" w:rsidP="00062165" w14:paraId="3659F197" w14:textId="1BE26EA1">
      <w:pPr>
        <w:pStyle w:val="NormalWeb"/>
        <w:jc w:val="both"/>
      </w:pPr>
      <w:r w:rsidRPr="00D85ED2">
        <w:rPr>
          <w:b/>
        </w:rPr>
        <w:tab/>
      </w:r>
      <w:r w:rsidR="00500D2B">
        <w:t xml:space="preserve">O </w:t>
      </w:r>
      <w:r w:rsidR="00233E00">
        <w:t xml:space="preserve">Projeto de Lei n° 150 de 2025 demonstra alta relevância social, educacional e comunitária, sendo conveniente e oportuno para o Município de Mogi Mirim. </w:t>
      </w:r>
    </w:p>
    <w:p w:rsidR="00233E00" w:rsidP="00062165" w14:paraId="58BAC4A5" w14:textId="62C5626D">
      <w:pPr>
        <w:pStyle w:val="NormalWeb"/>
        <w:jc w:val="both"/>
      </w:pPr>
      <w:r>
        <w:tab/>
        <w:t xml:space="preserve">A iniciativa busca instituir, na rede municipal de ensino, o Programa “Doadores do Futuro”, com o objetivo de conscientizar e sensibilizar os alunos sobre a importância da doação voluntária de sangue, estimulando desde cedo valores como solidariedade, empatia, </w:t>
      </w:r>
      <w:r w:rsidR="00517083">
        <w:t xml:space="preserve">responsabilidade social e cidadania. </w:t>
      </w:r>
    </w:p>
    <w:p w:rsidR="00517083" w:rsidP="00062165" w14:paraId="495DE3A9" w14:textId="6963CA4E">
      <w:pPr>
        <w:pStyle w:val="NormalWeb"/>
        <w:jc w:val="both"/>
      </w:pPr>
      <w:r>
        <w:tab/>
        <w:t xml:space="preserve">O contexto apresentado na justificativa do projeto é consistente com a realidade nacional, na qual enfrentam dificuldades recorrentes em manter seus estoques de sangue, especialmente após o período da pandemia, o que reforça a necessidade de políticas públicas que formem uma cultura permanente de doação e solidariedade. </w:t>
      </w:r>
    </w:p>
    <w:p w:rsidR="00517083" w:rsidP="00062165" w14:paraId="345509FF" w14:textId="078544C7">
      <w:pPr>
        <w:pStyle w:val="NormalWeb"/>
        <w:jc w:val="both"/>
      </w:pPr>
      <w:r>
        <w:tab/>
      </w:r>
      <w:r w:rsidR="00051C2F">
        <w:t xml:space="preserve">O projeto ainda permite a articulação </w:t>
      </w:r>
      <w:r w:rsidR="00051C2F">
        <w:t>intersetorial</w:t>
      </w:r>
      <w:r w:rsidR="00051C2F">
        <w:t xml:space="preserve"> entre as Secretarias de Educação e Saúde, além da possibilidade de parcerias com hemocentros, instituições e entidades públicas ou privadas, o que amplia sua efetividade sem comprometer a estrutura administrativa do Poder Executivo. </w:t>
      </w:r>
    </w:p>
    <w:p w:rsidR="00051C2F" w:rsidRPr="005A11B1" w:rsidP="00062165" w14:paraId="1EAC3846" w14:textId="23DBC128">
      <w:pPr>
        <w:pStyle w:val="NormalWeb"/>
        <w:jc w:val="both"/>
        <w:rPr>
          <w:b/>
        </w:rPr>
      </w:pPr>
      <w:r>
        <w:tab/>
        <w:t xml:space="preserve">Portanto, o Programa “Doadores do Futuro”, </w:t>
      </w:r>
      <w:r w:rsidR="00F9623A">
        <w:t>se mostra conveniente e oportuno, atendendo plenamente ao interesse público local e aos objetivos constitucionais de promo</w:t>
      </w:r>
      <w:r w:rsidR="009E22E3">
        <w:t xml:space="preserve">ção da saúde, da educação e da cidadania. Tratando-se de uma proposta viável, socialmente benéfica e pedagogicamente relevante, que fortalece o compromisso do Município de Mogi Mirim com políticas públicas voltadas para o bem-estar da comunidade local.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04473A6F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62BB604B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9E22E3">
        <w:t xml:space="preserve">jeto de Lei nº </w:t>
      </w:r>
      <w:r w:rsidR="00BB2C9B">
        <w:t>1</w:t>
      </w:r>
      <w:r w:rsidR="009E22E3">
        <w:t>50</w:t>
      </w:r>
      <w:r w:rsidRPr="00D85ED2">
        <w:t xml:space="preserve"> de 2025, </w:t>
      </w:r>
      <w:r w:rsidR="009E22E3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B10335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D1643F">
        <w:t xml:space="preserve">João Victor Gasparini </w:t>
      </w:r>
      <w:r w:rsidRPr="00D85ED2">
        <w:t>(Vice-Presidente)</w:t>
      </w:r>
    </w:p>
    <w:p w:rsidR="00346786" w:rsidRPr="00D85ED2" w:rsidP="00346786" w14:paraId="25BDC939" w14:textId="61AF84C0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5E3F3A7E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062165">
        <w:rPr>
          <w:rStyle w:val="Strong"/>
        </w:rPr>
        <w:t xml:space="preserve"> “VEREADOR SANTO RÓTTOLI”, em 29</w:t>
      </w:r>
      <w:r w:rsidR="009E22E3">
        <w:rPr>
          <w:rStyle w:val="Strong"/>
        </w:rPr>
        <w:t xml:space="preserve"> de outubro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44ED756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4EFD32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Consulta/0195/2025/JG/G</w:t>
      </w:r>
      <w:r w:rsidR="00BB2C9B">
        <w:rPr>
          <w:rStyle w:val="Strong"/>
        </w:rPr>
        <w:t>/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="00BB2C9B">
        <w:t>.</w:t>
      </w:r>
      <w:r w:rsidRPr="00D85ED2" w:rsidR="00E57571">
        <w:t xml:space="preserve"> </w:t>
      </w:r>
    </w:p>
    <w:p w:rsidR="00451F2D" w:rsidRPr="00D85ED2" w:rsidP="003D6D21" w14:paraId="43EE8BE6" w14:textId="7C23DF0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1</w:t>
      </w:r>
      <w:r w:rsidR="004B09B1">
        <w:rPr>
          <w:rStyle w:val="Strong"/>
        </w:rPr>
        <w:t>°</w:t>
      </w:r>
      <w:r>
        <w:rPr>
          <w:rStyle w:val="Strong"/>
        </w:rPr>
        <w:t>, III e Art. 6</w:t>
      </w:r>
      <w:r w:rsidR="004B09B1">
        <w:rPr>
          <w:rStyle w:val="Strong"/>
        </w:rPr>
        <w:t>°</w:t>
      </w:r>
      <w:r>
        <w:rPr>
          <w:rStyle w:val="Strong"/>
        </w:rPr>
        <w:t xml:space="preserve">: </w:t>
      </w:r>
      <w:r>
        <w:rPr>
          <w:rStyle w:val="Strong"/>
          <w:b w:val="0"/>
        </w:rPr>
        <w:t>fundamentam os direitos à dignidade da pessoa humana, à s</w:t>
      </w:r>
      <w:r w:rsidR="006969E3">
        <w:rPr>
          <w:rStyle w:val="Strong"/>
          <w:b w:val="0"/>
        </w:rPr>
        <w:t>aúde, à educação e à solidariedade social.</w:t>
      </w:r>
    </w:p>
    <w:p w:rsidR="00CC230E" w:rsidP="00CC230E" w14:paraId="60EC92E0" w14:textId="072FCA8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6969E3" w:rsidP="00CC230E" w14:paraId="4F78DBA1" w14:textId="488354F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</w:t>
      </w:r>
      <w:r w:rsidRPr="006969E3">
        <w:rPr>
          <w:b/>
        </w:rPr>
        <w:t>, Art. 196:</w:t>
      </w:r>
      <w:r>
        <w:t xml:space="preserve"> dispõe que a saúde é direito de todos e dever do Estado, garantindo mediante políticas sociais e econômicas que visem à redução do risco de doença e de outros agravos. </w:t>
      </w:r>
    </w:p>
    <w:p w:rsidR="004B09B1" w:rsidP="004B09B1" w14:paraId="3B474D63" w14:textId="715F57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 Repercussão</w:t>
      </w:r>
      <w:r w:rsidRPr="00D85ED2">
        <w:rPr>
          <w:rStyle w:val="Strong"/>
        </w:rPr>
        <w:t xml:space="preserve"> Geral (Tema n°917) RE n°878.911</w:t>
      </w:r>
      <w:r w:rsidRPr="00D85ED2">
        <w:t xml:space="preserve">, do Supremo Tribunal Federal, que firmou entendimento no sentido de que não usurpa a competência privativa do chefe do Poder Executivo lei de iniciativa parlamentar que apesar de criar despesa para a </w:t>
      </w:r>
      <w:r w:rsidRPr="00D85ED2">
        <w:t>Administração Pública não versa sobre estrutura e atribuição de órgãos nem do regime jurídico de servidores públicos.</w:t>
      </w:r>
    </w:p>
    <w:p w:rsidR="006969E3" w:rsidRPr="00062165" w:rsidP="004B09B1" w14:paraId="71B380C7" w14:textId="1BA89D8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Tribunal de Justiça de </w:t>
      </w:r>
      <w:r>
        <w:rPr>
          <w:rStyle w:val="Strong"/>
        </w:rPr>
        <w:t xml:space="preserve">São Paulo, Ação Direta de Inconstitucionalidade n° 2122354-56.2024.8.26.0000: </w:t>
      </w:r>
      <w:r>
        <w:rPr>
          <w:rStyle w:val="Strong"/>
          <w:b w:val="0"/>
        </w:rPr>
        <w:t>reconhece a constitucionalidade de leis municipais de iniciativa parlamentar que instituem programas de caráter educativo e social, por não invadirem a esfera da administração.</w:t>
      </w:r>
    </w:p>
    <w:p w:rsidR="00062165" w:rsidP="00062165" w14:paraId="7D1EAB92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1CA8F48E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18BAB073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4D0FDC7B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748A3711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756F85F4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5272C85E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187D9930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256A9484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04D049C6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45AADEC9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4731A527" w14:textId="77777777">
      <w:pPr>
        <w:pStyle w:val="NormalWeb"/>
        <w:spacing w:before="0" w:beforeAutospacing="0" w:line="360" w:lineRule="auto"/>
        <w:jc w:val="both"/>
      </w:pPr>
    </w:p>
    <w:p w:rsidR="00062165" w:rsidP="00062165" w14:paraId="5699A4BB" w14:textId="77777777">
      <w:pPr>
        <w:pStyle w:val="NormalWeb"/>
        <w:spacing w:before="0" w:beforeAutospacing="0" w:line="360" w:lineRule="auto"/>
        <w:jc w:val="both"/>
      </w:pPr>
    </w:p>
    <w:p w:rsidR="00912E2B" w:rsidP="00062165" w14:paraId="73F78C79" w14:textId="77777777">
      <w:pPr>
        <w:pStyle w:val="NormalWeb"/>
        <w:spacing w:before="0" w:beforeAutospacing="0" w:line="360" w:lineRule="auto"/>
        <w:jc w:val="both"/>
      </w:pPr>
    </w:p>
    <w:p w:rsidR="00912E2B" w:rsidP="00062165" w14:paraId="7AD50294" w14:textId="77777777">
      <w:pPr>
        <w:pStyle w:val="NormalWeb"/>
        <w:spacing w:before="0" w:beforeAutospacing="0" w:line="360" w:lineRule="auto"/>
        <w:jc w:val="both"/>
      </w:pPr>
      <w:bookmarkStart w:id="0" w:name="_GoBack"/>
      <w:bookmarkEnd w:id="0"/>
    </w:p>
    <w:p w:rsidR="00423EBB" w:rsidP="00F13148" w14:paraId="21FED534" w14:textId="03F85A2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10C0C67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9E22E3">
        <w:rPr>
          <w:rFonts w:ascii="Palatino Linotype" w:hAnsi="Palatino Linotype" w:cs="Arial"/>
          <w:b/>
          <w:sz w:val="24"/>
          <w:szCs w:val="24"/>
        </w:rPr>
        <w:t xml:space="preserve"> REDAÇÃO AO PROJETO DE LEI N° 150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E22E3">
        <w:rPr>
          <w:rFonts w:ascii="Palatino Linotype" w:hAnsi="Palatino Linotype" w:cs="Arial"/>
          <w:b/>
          <w:sz w:val="24"/>
          <w:szCs w:val="24"/>
        </w:rPr>
        <w:t>LUIZ FERNANDO SAVIANO.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4140D2A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9E22E3">
        <w:rPr>
          <w:rFonts w:ascii="Palatino Linotype" w:hAnsi="Palatino Linotype" w:cs="Arial"/>
          <w:sz w:val="24"/>
          <w:szCs w:val="24"/>
        </w:rPr>
        <w:t>AVORÁVEL ao Projeto de Lei n° 150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8714AB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29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9E22E3">
        <w:rPr>
          <w:rFonts w:ascii="Palatino Linotype" w:hAnsi="Palatino Linotype" w:cs="Arial"/>
          <w:bCs/>
          <w:sz w:val="24"/>
          <w:szCs w:val="24"/>
        </w:rPr>
        <w:t>outubro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6C12788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0B7AA4B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5298C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D85ED2" w:rsidP="00F13148" w14:paraId="10091CF6" w14:textId="48CDFD3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="009E22E3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671"/>
    <w:rsid w:val="00021B2B"/>
    <w:rsid w:val="0002414D"/>
    <w:rsid w:val="00026797"/>
    <w:rsid w:val="00037531"/>
    <w:rsid w:val="00041A2D"/>
    <w:rsid w:val="00051C2F"/>
    <w:rsid w:val="00057A9B"/>
    <w:rsid w:val="00062165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26AE5"/>
    <w:rsid w:val="00153447"/>
    <w:rsid w:val="0015590E"/>
    <w:rsid w:val="00181506"/>
    <w:rsid w:val="00187FC6"/>
    <w:rsid w:val="001902E0"/>
    <w:rsid w:val="00192536"/>
    <w:rsid w:val="001A3CE4"/>
    <w:rsid w:val="001B7303"/>
    <w:rsid w:val="001D0560"/>
    <w:rsid w:val="001D33FB"/>
    <w:rsid w:val="0020165D"/>
    <w:rsid w:val="00213987"/>
    <w:rsid w:val="00227E2C"/>
    <w:rsid w:val="00233E00"/>
    <w:rsid w:val="00234376"/>
    <w:rsid w:val="002567E6"/>
    <w:rsid w:val="002664BD"/>
    <w:rsid w:val="00297379"/>
    <w:rsid w:val="002A2BD3"/>
    <w:rsid w:val="002A5400"/>
    <w:rsid w:val="002A648D"/>
    <w:rsid w:val="002B71AC"/>
    <w:rsid w:val="002B7E79"/>
    <w:rsid w:val="002C46E0"/>
    <w:rsid w:val="002D65A3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34FA8"/>
    <w:rsid w:val="00446FA1"/>
    <w:rsid w:val="00451F2D"/>
    <w:rsid w:val="004557B8"/>
    <w:rsid w:val="00456770"/>
    <w:rsid w:val="00493896"/>
    <w:rsid w:val="004B09B1"/>
    <w:rsid w:val="004B3FD2"/>
    <w:rsid w:val="004B6FDF"/>
    <w:rsid w:val="004D46DA"/>
    <w:rsid w:val="004E6092"/>
    <w:rsid w:val="00500D2B"/>
    <w:rsid w:val="00517083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747"/>
    <w:rsid w:val="00670C69"/>
    <w:rsid w:val="006834FE"/>
    <w:rsid w:val="006969E3"/>
    <w:rsid w:val="00697874"/>
    <w:rsid w:val="006A54A9"/>
    <w:rsid w:val="006A762A"/>
    <w:rsid w:val="006B728C"/>
    <w:rsid w:val="006D1946"/>
    <w:rsid w:val="006E0319"/>
    <w:rsid w:val="006E14A1"/>
    <w:rsid w:val="006F48DD"/>
    <w:rsid w:val="007038AD"/>
    <w:rsid w:val="00734794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065"/>
    <w:rsid w:val="009048A2"/>
    <w:rsid w:val="00904ADF"/>
    <w:rsid w:val="00912E2B"/>
    <w:rsid w:val="00914ADC"/>
    <w:rsid w:val="00920A3F"/>
    <w:rsid w:val="00925E1A"/>
    <w:rsid w:val="00925E69"/>
    <w:rsid w:val="0098102A"/>
    <w:rsid w:val="009C5903"/>
    <w:rsid w:val="009D56B8"/>
    <w:rsid w:val="009D6B7C"/>
    <w:rsid w:val="009E22E3"/>
    <w:rsid w:val="00A00E3E"/>
    <w:rsid w:val="00A12DD9"/>
    <w:rsid w:val="00A164DC"/>
    <w:rsid w:val="00A23604"/>
    <w:rsid w:val="00A27446"/>
    <w:rsid w:val="00A672C0"/>
    <w:rsid w:val="00A92E38"/>
    <w:rsid w:val="00A955C8"/>
    <w:rsid w:val="00AA56B9"/>
    <w:rsid w:val="00AD2770"/>
    <w:rsid w:val="00AE5858"/>
    <w:rsid w:val="00AF0C05"/>
    <w:rsid w:val="00AF3296"/>
    <w:rsid w:val="00AF4AC7"/>
    <w:rsid w:val="00B254C5"/>
    <w:rsid w:val="00B445C5"/>
    <w:rsid w:val="00B50742"/>
    <w:rsid w:val="00B57090"/>
    <w:rsid w:val="00B62AF9"/>
    <w:rsid w:val="00B66C8B"/>
    <w:rsid w:val="00B703AF"/>
    <w:rsid w:val="00B73D56"/>
    <w:rsid w:val="00B828D4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956A7"/>
    <w:rsid w:val="00CA0263"/>
    <w:rsid w:val="00CA4349"/>
    <w:rsid w:val="00CC230E"/>
    <w:rsid w:val="00CC3E72"/>
    <w:rsid w:val="00CF288D"/>
    <w:rsid w:val="00D1643F"/>
    <w:rsid w:val="00D233F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E2A9A"/>
    <w:rsid w:val="00DF1FB3"/>
    <w:rsid w:val="00DF605F"/>
    <w:rsid w:val="00E11ECC"/>
    <w:rsid w:val="00E3543A"/>
    <w:rsid w:val="00E464A8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9623A"/>
    <w:rsid w:val="00FA4EA0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6679BB-9507-4419-B595-830F92CE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2025-10-29T14:07:00Z</cp:lastPrinted>
  <dcterms:created xsi:type="dcterms:W3CDTF">2025-10-29T19:34:00Z</dcterms:created>
  <dcterms:modified xsi:type="dcterms:W3CDTF">2025-10-29T19:34:00Z</dcterms:modified>
</cp:coreProperties>
</file>