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E27D0C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3D6D21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E27D0C" w:rsidRPr="00AF0427" w:rsidP="00E27D0C" w14:paraId="294093BC" w14:textId="21DFD321">
      <w:pPr>
        <w:pStyle w:val="NormalWeb"/>
        <w:spacing w:line="360" w:lineRule="auto"/>
        <w:rPr>
          <w:rFonts w:asciiTheme="majorHAnsi" w:hAnsiTheme="majorHAnsi" w:cstheme="majorHAnsi"/>
        </w:rPr>
      </w:pPr>
      <w:r w:rsidRPr="00AF0427">
        <w:rPr>
          <w:rStyle w:val="Strong"/>
          <w:rFonts w:asciiTheme="majorHAnsi" w:hAnsiTheme="majorHAnsi" w:cstheme="majorHAnsi"/>
        </w:rPr>
        <w:t xml:space="preserve">PROJETO DE </w:t>
      </w:r>
      <w:r w:rsidRPr="00AF0427" w:rsidR="00507B11">
        <w:rPr>
          <w:rStyle w:val="Strong"/>
          <w:rFonts w:asciiTheme="majorHAnsi" w:hAnsiTheme="majorHAnsi" w:cstheme="majorHAnsi"/>
        </w:rPr>
        <w:t>LEI Nº 138</w:t>
      </w:r>
      <w:r w:rsidRPr="00AF0427" w:rsidR="00F74441">
        <w:rPr>
          <w:rStyle w:val="Strong"/>
          <w:rFonts w:asciiTheme="majorHAnsi" w:hAnsiTheme="majorHAnsi" w:cstheme="majorHAnsi"/>
        </w:rPr>
        <w:t xml:space="preserve"> DE 2025</w:t>
      </w:r>
      <w:r w:rsidRPr="00AF0427" w:rsidR="00507B11">
        <w:rPr>
          <w:rStyle w:val="Strong"/>
          <w:rFonts w:asciiTheme="majorHAnsi" w:hAnsiTheme="majorHAnsi" w:cstheme="majorHAnsi"/>
        </w:rPr>
        <w:t xml:space="preserve"> – VEREADORES MÁRCIO DENER CORAN E CINOÊ DUZO</w:t>
      </w:r>
    </w:p>
    <w:p w:rsidR="00F74441" w:rsidRPr="00AF0427" w:rsidP="003F580C" w14:paraId="4DE9CBF8" w14:textId="75B79388">
      <w:pPr>
        <w:pStyle w:val="NormalWeb"/>
        <w:spacing w:line="360" w:lineRule="auto"/>
        <w:jc w:val="both"/>
        <w:rPr>
          <w:rFonts w:asciiTheme="majorHAnsi" w:hAnsiTheme="majorHAnsi" w:cstheme="majorHAnsi"/>
          <w:b/>
          <w:bCs/>
        </w:rPr>
      </w:pPr>
      <w:r w:rsidRPr="00AF0427">
        <w:rPr>
          <w:rStyle w:val="Emphasis"/>
          <w:rFonts w:asciiTheme="majorHAnsi" w:hAnsiTheme="majorHAnsi" w:cstheme="majorHAnsi"/>
        </w:rPr>
        <w:t>“</w:t>
      </w:r>
      <w:r w:rsidRPr="00AF0427" w:rsidR="00E27D0C">
        <w:rPr>
          <w:rStyle w:val="Emphasis"/>
          <w:rFonts w:asciiTheme="majorHAnsi" w:hAnsiTheme="majorHAnsi" w:cstheme="majorHAnsi"/>
        </w:rPr>
        <w:t xml:space="preserve">Dispõe </w:t>
      </w:r>
      <w:r w:rsidRPr="00AF0427" w:rsidR="00595E79">
        <w:rPr>
          <w:rStyle w:val="Emphasis"/>
          <w:rFonts w:asciiTheme="majorHAnsi" w:hAnsiTheme="majorHAnsi" w:cstheme="majorHAnsi"/>
        </w:rPr>
        <w:t xml:space="preserve">sobre a </w:t>
      </w:r>
      <w:r w:rsidRPr="00AF0427">
        <w:rPr>
          <w:rStyle w:val="Emphasis"/>
          <w:rFonts w:asciiTheme="majorHAnsi" w:hAnsiTheme="majorHAnsi" w:cstheme="majorHAnsi"/>
        </w:rPr>
        <w:t>obrigatoriedade da instalação de bicicletários em todos os hipermercados, shopping centers e centros comerciais no município de Mogi Mirim”</w:t>
      </w:r>
      <w:r w:rsidRPr="00AF0427" w:rsidR="003F580C">
        <w:rPr>
          <w:rStyle w:val="Emphasis"/>
          <w:rFonts w:asciiTheme="majorHAnsi" w:hAnsiTheme="majorHAnsi" w:cstheme="majorHAnsi"/>
        </w:rPr>
        <w:t xml:space="preserve">. </w:t>
      </w:r>
    </w:p>
    <w:p w:rsidR="00F74441" w:rsidRPr="00AF0427" w:rsidP="003D6D21" w14:paraId="1D42C3C2" w14:textId="08016D90">
      <w:pPr>
        <w:pStyle w:val="NormalWeb"/>
        <w:spacing w:line="360" w:lineRule="auto"/>
        <w:rPr>
          <w:rFonts w:asciiTheme="majorHAnsi" w:hAnsiTheme="majorHAnsi" w:cstheme="majorHAnsi"/>
        </w:rPr>
      </w:pPr>
      <w:r w:rsidRPr="00AF0427">
        <w:rPr>
          <w:rStyle w:val="Strong"/>
          <w:rFonts w:asciiTheme="majorHAnsi" w:hAnsiTheme="majorHAnsi" w:cstheme="majorHAnsi"/>
        </w:rPr>
        <w:t xml:space="preserve">RELATOR: </w:t>
      </w:r>
      <w:r w:rsidRPr="00AF0427" w:rsidR="003F580C">
        <w:rPr>
          <w:rStyle w:val="Strong"/>
          <w:rFonts w:asciiTheme="majorHAnsi" w:hAnsiTheme="majorHAnsi" w:cstheme="majorHAnsi"/>
        </w:rPr>
        <w:t>WILIANS MENDES DE OLIVEIRA</w:t>
      </w:r>
    </w:p>
    <w:p w:rsidR="00F74441" w:rsidRPr="00AF0427" w:rsidP="003D6D21" w14:paraId="255CBB13" w14:textId="77777777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AF0427" w:rsidP="003D6D21" w14:paraId="71819A52" w14:textId="77777777">
      <w:pPr>
        <w:pStyle w:val="Heading3"/>
        <w:spacing w:line="360" w:lineRule="auto"/>
        <w:jc w:val="both"/>
        <w:rPr>
          <w:rFonts w:asciiTheme="majorHAnsi" w:hAnsiTheme="majorHAnsi" w:cstheme="majorHAnsi"/>
          <w:color w:val="auto"/>
          <w:sz w:val="24"/>
          <w:szCs w:val="24"/>
        </w:rPr>
      </w:pPr>
      <w:r w:rsidRPr="00AF0427">
        <w:rPr>
          <w:rStyle w:val="Strong"/>
          <w:rFonts w:asciiTheme="majorHAnsi" w:hAnsiTheme="majorHAnsi" w:cstheme="majorHAnsi"/>
          <w:b/>
          <w:bCs w:val="0"/>
          <w:color w:val="auto"/>
          <w:sz w:val="24"/>
          <w:szCs w:val="24"/>
        </w:rPr>
        <w:t>I - EXPOSIÇÃO DA MATÉRIA EM EXAME</w:t>
      </w:r>
    </w:p>
    <w:p w:rsidR="009C1C3D" w:rsidRPr="00FE1D0E" w:rsidP="00FE1D0E" w14:paraId="70328DB6" w14:textId="3B37CD6E">
      <w:pPr>
        <w:pStyle w:val="NormalWeb"/>
        <w:jc w:val="both"/>
        <w:rPr>
          <w:rFonts w:asciiTheme="majorHAnsi" w:hAnsiTheme="majorHAnsi" w:cstheme="majorHAnsi"/>
        </w:rPr>
      </w:pPr>
      <w:r w:rsidRPr="00AF0427">
        <w:rPr>
          <w:rFonts w:asciiTheme="majorHAnsi" w:hAnsiTheme="majorHAnsi" w:cstheme="majorHAnsi"/>
        </w:rPr>
        <w:tab/>
      </w:r>
      <w:r w:rsidRPr="00FE1D0E">
        <w:rPr>
          <w:rFonts w:asciiTheme="majorHAnsi" w:hAnsiTheme="majorHAnsi" w:cstheme="majorHAnsi"/>
        </w:rPr>
        <w:t xml:space="preserve">Trata-se do </w:t>
      </w:r>
      <w:r w:rsidRPr="00FE1D0E">
        <w:rPr>
          <w:rFonts w:asciiTheme="majorHAnsi" w:hAnsiTheme="majorHAnsi" w:cstheme="majorHAnsi"/>
          <w:b/>
        </w:rPr>
        <w:t>Projeto de Lei nº 138/2025</w:t>
      </w:r>
      <w:r w:rsidRPr="00FE1D0E">
        <w:rPr>
          <w:rFonts w:asciiTheme="majorHAnsi" w:hAnsiTheme="majorHAnsi" w:cstheme="majorHAnsi"/>
        </w:rPr>
        <w:t xml:space="preserve">, de autoria dos Nobres Vereadores </w:t>
      </w:r>
      <w:r w:rsidRPr="00FE1D0E">
        <w:rPr>
          <w:rFonts w:asciiTheme="majorHAnsi" w:hAnsiTheme="majorHAnsi" w:cstheme="majorHAnsi"/>
          <w:b/>
        </w:rPr>
        <w:t>Márcio Dener Coran e Cinoê Duzo</w:t>
      </w:r>
      <w:r w:rsidRPr="00FE1D0E">
        <w:rPr>
          <w:rFonts w:asciiTheme="majorHAnsi" w:hAnsiTheme="majorHAnsi" w:cstheme="majorHAnsi"/>
        </w:rPr>
        <w:t xml:space="preserve">, que visa instituir a obrigatoriedade de instalação e manutenção de bicicletários em estabelecimentos de grande porte (hipermercados, </w:t>
      </w:r>
      <w:r w:rsidRPr="00FE1D0E">
        <w:rPr>
          <w:rFonts w:asciiTheme="majorHAnsi" w:hAnsiTheme="majorHAnsi" w:cstheme="majorHAnsi"/>
          <w:i/>
          <w:iCs/>
        </w:rPr>
        <w:t>shopping centers</w:t>
      </w:r>
      <w:r w:rsidRPr="00FE1D0E">
        <w:rPr>
          <w:rFonts w:asciiTheme="majorHAnsi" w:hAnsiTheme="majorHAnsi" w:cstheme="majorHAnsi"/>
        </w:rPr>
        <w:t xml:space="preserve"> e centros comerciais) localizados no território de Mogi Mirim.</w:t>
      </w:r>
    </w:p>
    <w:p w:rsidR="009C1C3D" w:rsidRPr="00FE1D0E" w:rsidP="00FE1D0E" w14:paraId="5E736D09" w14:textId="77777777">
      <w:pPr>
        <w:pStyle w:val="NormalWeb"/>
        <w:jc w:val="both"/>
        <w:rPr>
          <w:rFonts w:asciiTheme="majorHAnsi" w:hAnsiTheme="majorHAnsi" w:cstheme="majorHAnsi"/>
        </w:rPr>
      </w:pPr>
      <w:r w:rsidRPr="00FE1D0E">
        <w:rPr>
          <w:rFonts w:asciiTheme="majorHAnsi" w:hAnsiTheme="majorHAnsi" w:cstheme="majorHAnsi"/>
        </w:rPr>
        <w:t xml:space="preserve">A proposição original foi objeto de análise preliminar e, em 03 de novembro de 2025, os Autores apresentaram o </w:t>
      </w:r>
      <w:r w:rsidRPr="00FE1D0E">
        <w:rPr>
          <w:rFonts w:asciiTheme="majorHAnsi" w:hAnsiTheme="majorHAnsi" w:cstheme="majorHAnsi"/>
          <w:b/>
          <w:bCs/>
        </w:rPr>
        <w:t>Substitutivo Nº 1</w:t>
      </w:r>
      <w:r w:rsidRPr="00FE1D0E">
        <w:rPr>
          <w:rFonts w:asciiTheme="majorHAnsi" w:hAnsiTheme="majorHAnsi" w:cstheme="majorHAnsi"/>
        </w:rPr>
        <w:t>, em face de apontamentos técnicos e jurídicos, buscando conferir maior precisão terminológica, técnica legislativa e segurança jurídica à matéria.</w:t>
      </w:r>
    </w:p>
    <w:p w:rsidR="009C1C3D" w:rsidRPr="00FE1D0E" w:rsidP="00FE1D0E" w14:paraId="542FA80B" w14:textId="77777777">
      <w:pPr>
        <w:pStyle w:val="NormalWeb"/>
        <w:jc w:val="both"/>
        <w:rPr>
          <w:rFonts w:asciiTheme="majorHAnsi" w:hAnsiTheme="majorHAnsi" w:cstheme="majorHAnsi"/>
        </w:rPr>
      </w:pPr>
      <w:r w:rsidRPr="00FE1D0E">
        <w:rPr>
          <w:rFonts w:asciiTheme="majorHAnsi" w:hAnsiTheme="majorHAnsi" w:cstheme="majorHAnsi"/>
        </w:rPr>
        <w:t>O objetivo precípuo do projeto é incentivar o uso da bicicleta como meio de transporte sustentável e acessível, em consonância com as políticas nacionais e municipais de mobilidade urbana.</w:t>
      </w:r>
    </w:p>
    <w:p w:rsidR="009C1C3D" w:rsidRPr="00FE1D0E" w:rsidP="00FE1D0E" w14:paraId="5B128EAF" w14:textId="434E92A0">
      <w:pPr>
        <w:pStyle w:val="NormalWeb"/>
        <w:jc w:val="both"/>
        <w:rPr>
          <w:rFonts w:asciiTheme="majorHAnsi" w:hAnsiTheme="majorHAnsi" w:cstheme="majorHAnsi"/>
        </w:rPr>
      </w:pPr>
      <w:r w:rsidRPr="00FE1D0E">
        <w:rPr>
          <w:rFonts w:asciiTheme="majorHAnsi" w:hAnsiTheme="majorHAnsi" w:cstheme="majorHAnsi"/>
        </w:rPr>
        <w:t xml:space="preserve">A estrutura do </w:t>
      </w:r>
      <w:r w:rsidRPr="00FE1D0E">
        <w:rPr>
          <w:rFonts w:asciiTheme="majorHAnsi" w:hAnsiTheme="majorHAnsi" w:cstheme="majorHAnsi"/>
          <w:b/>
          <w:bCs/>
        </w:rPr>
        <w:t>Substitutivo Nº 1</w:t>
      </w:r>
      <w:r w:rsidRPr="00FE1D0E">
        <w:rPr>
          <w:rFonts w:asciiTheme="majorHAnsi" w:hAnsiTheme="majorHAnsi" w:cstheme="majorHAnsi"/>
        </w:rPr>
        <w:t xml:space="preserve"> é apresentada de forma detalhada, conforme a técnica legislativa:</w:t>
      </w:r>
    </w:p>
    <w:p w:rsidR="009C1C3D" w:rsidRPr="00FE1D0E" w:rsidP="00FE1D0E" w14:paraId="71F8C8BB" w14:textId="52EAE13F">
      <w:pPr>
        <w:pStyle w:val="NormalWeb"/>
        <w:jc w:val="both"/>
        <w:rPr>
          <w:rFonts w:asciiTheme="majorHAnsi" w:hAnsiTheme="majorHAnsi" w:cstheme="majorHAnsi"/>
        </w:rPr>
      </w:pPr>
      <w:r w:rsidRPr="00FE1D0E">
        <w:rPr>
          <w:rFonts w:asciiTheme="majorHAnsi" w:hAnsiTheme="majorHAnsi" w:cstheme="majorHAnsi"/>
        </w:rPr>
        <w:t xml:space="preserve">O cerne da proposição está no </w:t>
      </w:r>
      <w:r w:rsidRPr="00FE1D0E">
        <w:rPr>
          <w:rFonts w:asciiTheme="majorHAnsi" w:hAnsiTheme="majorHAnsi" w:cstheme="majorHAnsi"/>
          <w:b/>
          <w:bCs/>
        </w:rPr>
        <w:t>Artigo 1º</w:t>
      </w:r>
      <w:r w:rsidRPr="00FE1D0E">
        <w:rPr>
          <w:rFonts w:asciiTheme="majorHAnsi" w:hAnsiTheme="majorHAnsi" w:cstheme="majorHAnsi"/>
        </w:rPr>
        <w:t xml:space="preserve">, que estabelece a obrigatoriedade de disponibilização, instalação e manutenção de bicicletários fixos nos hipermercados, </w:t>
      </w:r>
      <w:r w:rsidRPr="00FE1D0E">
        <w:rPr>
          <w:rFonts w:asciiTheme="majorHAnsi" w:hAnsiTheme="majorHAnsi" w:cstheme="majorHAnsi"/>
          <w:i/>
          <w:iCs/>
        </w:rPr>
        <w:t>shopping centers</w:t>
      </w:r>
      <w:r w:rsidRPr="00FE1D0E">
        <w:rPr>
          <w:rFonts w:asciiTheme="majorHAnsi" w:hAnsiTheme="majorHAnsi" w:cstheme="majorHAnsi"/>
        </w:rPr>
        <w:t xml:space="preserve"> e centros comerciais do Município. O </w:t>
      </w:r>
      <w:r w:rsidRPr="00FE1D0E">
        <w:rPr>
          <w:rFonts w:asciiTheme="majorHAnsi" w:hAnsiTheme="majorHAnsi" w:cstheme="majorHAnsi"/>
          <w:b/>
          <w:bCs/>
        </w:rPr>
        <w:t>§ 1º</w:t>
      </w:r>
      <w:r w:rsidRPr="00FE1D0E">
        <w:rPr>
          <w:rFonts w:asciiTheme="majorHAnsi" w:hAnsiTheme="majorHAnsi" w:cstheme="majorHAnsi"/>
        </w:rPr>
        <w:t xml:space="preserve"> define os termos essenciais para a aplicação da Lei, sendo o </w:t>
      </w:r>
      <w:r w:rsidRPr="00FE1D0E">
        <w:rPr>
          <w:rFonts w:asciiTheme="majorHAnsi" w:hAnsiTheme="majorHAnsi" w:cstheme="majorHAnsi"/>
          <w:b/>
          <w:bCs/>
        </w:rPr>
        <w:t>Inciso I</w:t>
      </w:r>
      <w:r w:rsidRPr="00FE1D0E">
        <w:rPr>
          <w:rFonts w:asciiTheme="majorHAnsi" w:hAnsiTheme="majorHAnsi" w:cstheme="majorHAnsi"/>
        </w:rPr>
        <w:t xml:space="preserve"> o responsável por conceituar </w:t>
      </w:r>
      <w:r w:rsidRPr="00FE1D0E">
        <w:rPr>
          <w:rFonts w:asciiTheme="majorHAnsi" w:hAnsiTheme="majorHAnsi" w:cstheme="majorHAnsi"/>
          <w:b/>
          <w:bCs/>
        </w:rPr>
        <w:t>Bicicletário</w:t>
      </w:r>
      <w:r w:rsidRPr="00FE1D0E">
        <w:rPr>
          <w:rFonts w:asciiTheme="majorHAnsi" w:hAnsiTheme="majorHAnsi" w:cstheme="majorHAnsi"/>
        </w:rPr>
        <w:t xml:space="preserve"> como uma estrutura fixa e permanente, dotada de suporte que permita a fixação segura do quadro e da roda, com remissão direta à norma técnica </w:t>
      </w:r>
      <w:r w:rsidRPr="00FE1D0E">
        <w:rPr>
          <w:rFonts w:asciiTheme="majorHAnsi" w:hAnsiTheme="majorHAnsi" w:cstheme="majorHAnsi"/>
          <w:b/>
          <w:bCs/>
        </w:rPr>
        <w:t>ABNT NBR 16537:2016</w:t>
      </w:r>
      <w:r w:rsidRPr="00FE1D0E">
        <w:rPr>
          <w:rFonts w:asciiTheme="majorHAnsi" w:hAnsiTheme="majorHAnsi" w:cstheme="majorHAnsi"/>
        </w:rPr>
        <w:t xml:space="preserve"> (Requisitos de Projeto). Já o </w:t>
      </w:r>
      <w:r w:rsidRPr="00FE1D0E">
        <w:rPr>
          <w:rFonts w:asciiTheme="majorHAnsi" w:hAnsiTheme="majorHAnsi" w:cstheme="majorHAnsi"/>
          <w:b/>
          <w:bCs/>
        </w:rPr>
        <w:t>Inciso II</w:t>
      </w:r>
      <w:r w:rsidRPr="00FE1D0E">
        <w:rPr>
          <w:rFonts w:asciiTheme="majorHAnsi" w:hAnsiTheme="majorHAnsi" w:cstheme="majorHAnsi"/>
        </w:rPr>
        <w:t xml:space="preserve"> define o alcance da Lei, conceituando </w:t>
      </w:r>
      <w:r w:rsidRPr="00FE1D0E">
        <w:rPr>
          <w:rFonts w:asciiTheme="majorHAnsi" w:hAnsiTheme="majorHAnsi" w:cstheme="majorHAnsi"/>
          <w:b/>
          <w:bCs/>
        </w:rPr>
        <w:t>Hipermercado, shopping center ou centro comercial</w:t>
      </w:r>
      <w:r w:rsidRPr="00FE1D0E">
        <w:rPr>
          <w:rFonts w:asciiTheme="majorHAnsi" w:hAnsiTheme="majorHAnsi" w:cstheme="majorHAnsi"/>
        </w:rPr>
        <w:t xml:space="preserve"> </w:t>
      </w:r>
      <w:r w:rsidRPr="00FE1D0E">
        <w:rPr>
          <w:rFonts w:asciiTheme="majorHAnsi" w:hAnsiTheme="majorHAnsi" w:cstheme="majorHAnsi"/>
        </w:rPr>
        <w:t xml:space="preserve">com critério objetivo, aplicável a estabelecimentos de grande porte com área construída igual ou superior a </w:t>
      </w:r>
      <w:r w:rsidRPr="00FE1D0E" w:rsidR="008A6DEB">
        <w:rPr>
          <w:rStyle w:val="math-inline"/>
          <w:rFonts w:asciiTheme="majorHAnsi" w:hAnsiTheme="majorHAnsi" w:cstheme="majorHAnsi"/>
        </w:rPr>
        <w:t>1.000 m</w:t>
      </w:r>
      <w:r w:rsidRPr="00FE1D0E" w:rsidR="00AF0427">
        <w:rPr>
          <w:rStyle w:val="math-inline"/>
          <w:rFonts w:asciiTheme="majorHAnsi" w:hAnsiTheme="majorHAnsi" w:cstheme="majorHAnsi"/>
        </w:rPr>
        <w:t>²</w:t>
      </w:r>
      <w:r w:rsidRPr="00FE1D0E">
        <w:rPr>
          <w:rFonts w:asciiTheme="majorHAnsi" w:hAnsiTheme="majorHAnsi" w:cstheme="majorHAnsi"/>
        </w:rPr>
        <w:t xml:space="preserve"> ou classificados pelos códigos da CNAE correspondentes. O </w:t>
      </w:r>
      <w:r w:rsidRPr="00FE1D0E">
        <w:rPr>
          <w:rFonts w:asciiTheme="majorHAnsi" w:hAnsiTheme="majorHAnsi" w:cstheme="majorHAnsi"/>
          <w:b/>
          <w:bCs/>
        </w:rPr>
        <w:t>§ 2º</w:t>
      </w:r>
      <w:r w:rsidRPr="00FE1D0E">
        <w:rPr>
          <w:rFonts w:asciiTheme="majorHAnsi" w:hAnsiTheme="majorHAnsi" w:cstheme="majorHAnsi"/>
        </w:rPr>
        <w:t xml:space="preserve"> reforça a observância dos parâmetros de segurança, acessibilidade e ergonomia definidos pela NBR.</w:t>
      </w:r>
    </w:p>
    <w:p w:rsidR="009C1C3D" w:rsidRPr="00FE1D0E" w:rsidP="00FE1D0E" w14:paraId="7039A31E" w14:textId="77777777">
      <w:pPr>
        <w:pStyle w:val="NormalWeb"/>
        <w:jc w:val="both"/>
        <w:rPr>
          <w:rFonts w:asciiTheme="majorHAnsi" w:hAnsiTheme="majorHAnsi" w:cstheme="majorHAnsi"/>
        </w:rPr>
      </w:pPr>
      <w:r w:rsidRPr="00FE1D0E">
        <w:rPr>
          <w:rFonts w:asciiTheme="majorHAnsi" w:hAnsiTheme="majorHAnsi" w:cstheme="majorHAnsi"/>
        </w:rPr>
        <w:t xml:space="preserve">O </w:t>
      </w:r>
      <w:r w:rsidRPr="00FE1D0E">
        <w:rPr>
          <w:rFonts w:asciiTheme="majorHAnsi" w:hAnsiTheme="majorHAnsi" w:cstheme="majorHAnsi"/>
          <w:b/>
          <w:bCs/>
        </w:rPr>
        <w:t>Artigo 2º</w:t>
      </w:r>
      <w:r w:rsidRPr="00FE1D0E">
        <w:rPr>
          <w:rFonts w:asciiTheme="majorHAnsi" w:hAnsiTheme="majorHAnsi" w:cstheme="majorHAnsi"/>
        </w:rPr>
        <w:t xml:space="preserve"> trata da competência regulamentar do Poder Executivo, a quem é delegada a tarefa de definir as especificações técnicas complementares, como dimensões mínimas, critérios de segurança e o cálculo da capacidade mínima de vagas. Contudo, este dispositivo impõe que tal regulamentação deve respeitar o disposto na Lei e, sobretudo, observar as diretrizes da Política Nacional de Mobilidade Urbana, do Estatuto da Cidade, do Código de Trânsito Brasileiro e da Lei Municipal nº 6.740/2024 (Plano Municipal de Mobilidade Urbana).</w:t>
      </w:r>
    </w:p>
    <w:p w:rsidR="009C1C3D" w:rsidRPr="00FE1D0E" w:rsidP="00FE1D0E" w14:paraId="6E33B965" w14:textId="6DBE9B5E">
      <w:pPr>
        <w:pStyle w:val="NormalWeb"/>
        <w:jc w:val="both"/>
        <w:rPr>
          <w:rFonts w:asciiTheme="majorHAnsi" w:hAnsiTheme="majorHAnsi" w:cstheme="majorHAnsi"/>
        </w:rPr>
      </w:pPr>
      <w:r w:rsidRPr="00FE1D0E">
        <w:rPr>
          <w:rFonts w:asciiTheme="majorHAnsi" w:hAnsiTheme="majorHAnsi" w:cstheme="majorHAnsi"/>
        </w:rPr>
        <w:t xml:space="preserve">No </w:t>
      </w:r>
      <w:r w:rsidRPr="00FE1D0E">
        <w:rPr>
          <w:rFonts w:asciiTheme="majorHAnsi" w:hAnsiTheme="majorHAnsi" w:cstheme="majorHAnsi"/>
          <w:b/>
          <w:bCs/>
        </w:rPr>
        <w:t>Artigo 3º</w:t>
      </w:r>
      <w:r w:rsidRPr="00FE1D0E">
        <w:rPr>
          <w:rFonts w:asciiTheme="majorHAnsi" w:hAnsiTheme="majorHAnsi" w:cstheme="majorHAnsi"/>
        </w:rPr>
        <w:t xml:space="preserve"> são estabelecidos os requisitos obrigatórios de funcionamento dos bicicletários, a saber: </w:t>
      </w:r>
      <w:r w:rsidRPr="00FE1D0E">
        <w:rPr>
          <w:rFonts w:asciiTheme="majorHAnsi" w:hAnsiTheme="majorHAnsi" w:cstheme="majorHAnsi"/>
          <w:b/>
          <w:bCs/>
        </w:rPr>
        <w:t>Inciso I</w:t>
      </w:r>
      <w:r w:rsidRPr="00FE1D0E">
        <w:rPr>
          <w:rFonts w:asciiTheme="majorHAnsi" w:hAnsiTheme="majorHAnsi" w:cstheme="majorHAnsi"/>
        </w:rPr>
        <w:t xml:space="preserve">, ser de uso gratuito; </w:t>
      </w:r>
      <w:r w:rsidRPr="00FE1D0E">
        <w:rPr>
          <w:rFonts w:asciiTheme="majorHAnsi" w:hAnsiTheme="majorHAnsi" w:cstheme="majorHAnsi"/>
          <w:b/>
          <w:bCs/>
        </w:rPr>
        <w:t>Inciso II</w:t>
      </w:r>
      <w:r w:rsidRPr="00FE1D0E">
        <w:rPr>
          <w:rFonts w:asciiTheme="majorHAnsi" w:hAnsiTheme="majorHAnsi" w:cstheme="majorHAnsi"/>
        </w:rPr>
        <w:t xml:space="preserve">, situar-se em local de fácil acesso, visibilidade e segurança, preferencialmente próximo às entradas principais; </w:t>
      </w:r>
      <w:r w:rsidRPr="00FE1D0E">
        <w:rPr>
          <w:rFonts w:asciiTheme="majorHAnsi" w:hAnsiTheme="majorHAnsi" w:cstheme="majorHAnsi"/>
          <w:b/>
          <w:bCs/>
        </w:rPr>
        <w:t>Inciso III</w:t>
      </w:r>
      <w:r w:rsidRPr="00FE1D0E">
        <w:rPr>
          <w:rFonts w:asciiTheme="majorHAnsi" w:hAnsiTheme="majorHAnsi" w:cstheme="majorHAnsi"/>
        </w:rPr>
        <w:t>, possuir capacidade mínima de 03 (três) vagas ou critério objetivo de proporcionalidade a ser fixado em regulamentação (</w:t>
      </w:r>
      <w:r w:rsidRPr="00FE1D0E">
        <w:rPr>
          <w:rFonts w:asciiTheme="majorHAnsi" w:hAnsiTheme="majorHAnsi" w:cstheme="majorHAnsi"/>
        </w:rPr>
        <w:t>ex</w:t>
      </w:r>
      <w:r w:rsidRPr="00FE1D0E">
        <w:rPr>
          <w:rFonts w:asciiTheme="majorHAnsi" w:hAnsiTheme="majorHAnsi" w:cstheme="majorHAnsi"/>
        </w:rPr>
        <w:t xml:space="preserve">: 1 vaga a cada </w:t>
      </w:r>
      <w:r w:rsidRPr="00FE1D0E" w:rsidR="00AF0427">
        <w:rPr>
          <w:rStyle w:val="math-inline"/>
          <w:rFonts w:asciiTheme="majorHAnsi" w:hAnsiTheme="majorHAnsi" w:cstheme="majorHAnsi"/>
        </w:rPr>
        <w:t>300m²</w:t>
      </w:r>
      <w:r w:rsidRPr="00FE1D0E">
        <w:rPr>
          <w:rFonts w:asciiTheme="majorHAnsi" w:hAnsiTheme="majorHAnsi" w:cstheme="majorHAnsi"/>
        </w:rPr>
        <w:t xml:space="preserve"> de área de vendas); </w:t>
      </w:r>
      <w:r w:rsidRPr="00FE1D0E">
        <w:rPr>
          <w:rFonts w:asciiTheme="majorHAnsi" w:hAnsiTheme="majorHAnsi" w:cstheme="majorHAnsi"/>
          <w:b/>
          <w:bCs/>
        </w:rPr>
        <w:t>Inciso IV</w:t>
      </w:r>
      <w:r w:rsidRPr="00FE1D0E">
        <w:rPr>
          <w:rFonts w:asciiTheme="majorHAnsi" w:hAnsiTheme="majorHAnsi" w:cstheme="majorHAnsi"/>
        </w:rPr>
        <w:t xml:space="preserve">, dispor de iluminação adequada e sinalização; e </w:t>
      </w:r>
      <w:r w:rsidRPr="00FE1D0E">
        <w:rPr>
          <w:rFonts w:asciiTheme="majorHAnsi" w:hAnsiTheme="majorHAnsi" w:cstheme="majorHAnsi"/>
          <w:b/>
          <w:bCs/>
        </w:rPr>
        <w:t>Inciso V</w:t>
      </w:r>
      <w:r w:rsidRPr="00FE1D0E">
        <w:rPr>
          <w:rFonts w:asciiTheme="majorHAnsi" w:hAnsiTheme="majorHAnsi" w:cstheme="majorHAnsi"/>
        </w:rPr>
        <w:t xml:space="preserve">, estar integrado à malha </w:t>
      </w:r>
      <w:r w:rsidRPr="00FE1D0E">
        <w:rPr>
          <w:rFonts w:asciiTheme="majorHAnsi" w:hAnsiTheme="majorHAnsi" w:cstheme="majorHAnsi"/>
        </w:rPr>
        <w:t>cicloviária</w:t>
      </w:r>
      <w:r w:rsidRPr="00FE1D0E">
        <w:rPr>
          <w:rFonts w:asciiTheme="majorHAnsi" w:hAnsiTheme="majorHAnsi" w:cstheme="majorHAnsi"/>
        </w:rPr>
        <w:t xml:space="preserve"> municipal, quando possível. O </w:t>
      </w:r>
      <w:r w:rsidRPr="00FE1D0E">
        <w:rPr>
          <w:rFonts w:asciiTheme="majorHAnsi" w:hAnsiTheme="majorHAnsi" w:cstheme="majorHAnsi"/>
          <w:b/>
          <w:bCs/>
        </w:rPr>
        <w:t>§ 2º</w:t>
      </w:r>
      <w:r w:rsidRPr="00FE1D0E">
        <w:rPr>
          <w:rFonts w:asciiTheme="majorHAnsi" w:hAnsiTheme="majorHAnsi" w:cstheme="majorHAnsi"/>
        </w:rPr>
        <w:t xml:space="preserve"> deste artigo estabelece o prazo de até </w:t>
      </w:r>
      <w:r w:rsidRPr="00FE1D0E">
        <w:rPr>
          <w:rFonts w:asciiTheme="majorHAnsi" w:hAnsiTheme="majorHAnsi" w:cstheme="majorHAnsi"/>
          <w:b/>
          <w:bCs/>
        </w:rPr>
        <w:t>12 (doze) meses</w:t>
      </w:r>
      <w:r w:rsidRPr="00FE1D0E">
        <w:rPr>
          <w:rFonts w:asciiTheme="majorHAnsi" w:hAnsiTheme="majorHAnsi" w:cstheme="majorHAnsi"/>
        </w:rPr>
        <w:t xml:space="preserve"> para que os estabelecimentos já em funcionamento na data de publicação da Lei procedam à adequação.</w:t>
      </w:r>
    </w:p>
    <w:p w:rsidR="009C1C3D" w:rsidRPr="00FE1D0E" w:rsidP="00FE1D0E" w14:paraId="515C4F80" w14:textId="77777777">
      <w:pPr>
        <w:pStyle w:val="NormalWeb"/>
        <w:jc w:val="both"/>
        <w:rPr>
          <w:rFonts w:asciiTheme="majorHAnsi" w:hAnsiTheme="majorHAnsi" w:cstheme="majorHAnsi"/>
        </w:rPr>
      </w:pPr>
      <w:r w:rsidRPr="00FE1D0E">
        <w:rPr>
          <w:rFonts w:asciiTheme="majorHAnsi" w:hAnsiTheme="majorHAnsi" w:cstheme="majorHAnsi"/>
        </w:rPr>
        <w:t xml:space="preserve">As regras de fiscalização e sanção são fixadas no </w:t>
      </w:r>
      <w:r w:rsidRPr="00FE1D0E">
        <w:rPr>
          <w:rFonts w:asciiTheme="majorHAnsi" w:hAnsiTheme="majorHAnsi" w:cstheme="majorHAnsi"/>
          <w:b/>
          <w:bCs/>
        </w:rPr>
        <w:t>Artigo 4º</w:t>
      </w:r>
      <w:r w:rsidRPr="00FE1D0E">
        <w:rPr>
          <w:rFonts w:asciiTheme="majorHAnsi" w:hAnsiTheme="majorHAnsi" w:cstheme="majorHAnsi"/>
        </w:rPr>
        <w:t xml:space="preserve">, que atribui a competência fiscalizatória à Secretaria Municipal competente. O </w:t>
      </w:r>
      <w:r w:rsidRPr="00FE1D0E">
        <w:rPr>
          <w:rFonts w:asciiTheme="majorHAnsi" w:hAnsiTheme="majorHAnsi" w:cstheme="majorHAnsi"/>
          <w:b/>
          <w:bCs/>
        </w:rPr>
        <w:t>§ 1º</w:t>
      </w:r>
      <w:r w:rsidRPr="00FE1D0E">
        <w:rPr>
          <w:rFonts w:asciiTheme="majorHAnsi" w:hAnsiTheme="majorHAnsi" w:cstheme="majorHAnsi"/>
        </w:rPr>
        <w:t xml:space="preserve"> garante o devido processo legal, exigindo notificação prévia e concedendo o prazo de 30 (trinta) dias para regularização. O </w:t>
      </w:r>
      <w:r w:rsidRPr="00FE1D0E">
        <w:rPr>
          <w:rFonts w:asciiTheme="majorHAnsi" w:hAnsiTheme="majorHAnsi" w:cstheme="majorHAnsi"/>
          <w:b/>
          <w:bCs/>
        </w:rPr>
        <w:t>§ 2º</w:t>
      </w:r>
      <w:r w:rsidRPr="00FE1D0E">
        <w:rPr>
          <w:rFonts w:asciiTheme="majorHAnsi" w:hAnsiTheme="majorHAnsi" w:cstheme="majorHAnsi"/>
        </w:rPr>
        <w:t xml:space="preserve"> remete a aplicação de penalidades, como advertência e multa, ao Código de Postura do Município.</w:t>
      </w:r>
    </w:p>
    <w:p w:rsidR="009C1C3D" w:rsidRPr="00FE1D0E" w:rsidP="00FE1D0E" w14:paraId="5D62CC6C" w14:textId="77777777">
      <w:pPr>
        <w:pStyle w:val="NormalWeb"/>
        <w:jc w:val="both"/>
        <w:rPr>
          <w:rFonts w:asciiTheme="majorHAnsi" w:hAnsiTheme="majorHAnsi" w:cstheme="majorHAnsi"/>
        </w:rPr>
      </w:pPr>
      <w:r w:rsidRPr="00FE1D0E">
        <w:rPr>
          <w:rFonts w:asciiTheme="majorHAnsi" w:hAnsiTheme="majorHAnsi" w:cstheme="majorHAnsi"/>
        </w:rPr>
        <w:t xml:space="preserve">Por fim, o </w:t>
      </w:r>
      <w:r w:rsidRPr="00FE1D0E">
        <w:rPr>
          <w:rFonts w:asciiTheme="majorHAnsi" w:hAnsiTheme="majorHAnsi" w:cstheme="majorHAnsi"/>
          <w:b/>
          <w:bCs/>
        </w:rPr>
        <w:t>Artigo 5º</w:t>
      </w:r>
      <w:r w:rsidRPr="00FE1D0E">
        <w:rPr>
          <w:rFonts w:asciiTheme="majorHAnsi" w:hAnsiTheme="majorHAnsi" w:cstheme="majorHAnsi"/>
        </w:rPr>
        <w:t xml:space="preserve"> define a vigência, estabelecendo a entrada em vigor na data de sua publicação para novas edificações (Inciso I) e após o decurso do prazo de adaptação previsto no Art. 3º, § 2º, para os estabelecimentos existentes (Inciso II). O texto original também inclui um </w:t>
      </w:r>
      <w:r w:rsidRPr="00FE1D0E">
        <w:rPr>
          <w:rFonts w:asciiTheme="majorHAnsi" w:hAnsiTheme="majorHAnsi" w:cstheme="majorHAnsi"/>
          <w:b/>
          <w:bCs/>
        </w:rPr>
        <w:t>Art. 6º</w:t>
      </w:r>
      <w:r w:rsidRPr="00FE1D0E">
        <w:rPr>
          <w:rFonts w:asciiTheme="majorHAnsi" w:hAnsiTheme="majorHAnsi" w:cstheme="majorHAnsi"/>
        </w:rPr>
        <w:t>, que a Comissão sugere suprimir por se tratar de mera redundância redacional.</w:t>
      </w:r>
    </w:p>
    <w:p w:rsidR="00F74441" w:rsidRPr="00FE1D0E" w:rsidP="00FE1D0E" w14:paraId="452BB01C" w14:textId="713FBB49">
      <w:pPr>
        <w:pStyle w:val="NormalWeb"/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>
          <v:rect id="_x0000_i1026" style="width:0;height:0.75pt" o:hralign="center" o:hrstd="t" o:hrnoshade="t" o:hr="t" fillcolor="#404040" stroked="f"/>
        </w:pict>
      </w:r>
    </w:p>
    <w:p w:rsidR="00F74441" w:rsidRPr="00FE1D0E" w:rsidP="00FE1D0E" w14:paraId="380FED2D" w14:textId="77777777">
      <w:pPr>
        <w:pStyle w:val="Heading3"/>
        <w:spacing w:line="360" w:lineRule="auto"/>
        <w:jc w:val="both"/>
        <w:rPr>
          <w:rFonts w:asciiTheme="majorHAnsi" w:hAnsiTheme="majorHAnsi" w:cstheme="majorHAnsi"/>
          <w:color w:val="auto"/>
          <w:sz w:val="24"/>
          <w:szCs w:val="24"/>
        </w:rPr>
      </w:pPr>
      <w:r w:rsidRPr="00FE1D0E">
        <w:rPr>
          <w:rStyle w:val="Strong"/>
          <w:rFonts w:asciiTheme="majorHAnsi" w:hAnsiTheme="majorHAnsi" w:cstheme="majorHAnsi"/>
          <w:b/>
          <w:bCs w:val="0"/>
          <w:color w:val="auto"/>
          <w:sz w:val="24"/>
          <w:szCs w:val="24"/>
        </w:rPr>
        <w:t>II - CONCLUSÕES DO RELATOR</w:t>
      </w:r>
    </w:p>
    <w:p w:rsidR="000C3715" w:rsidRPr="00FE1D0E" w:rsidP="00FE1D0E" w14:paraId="4DB48785" w14:textId="270A01D8">
      <w:pPr>
        <w:pStyle w:val="Heading4"/>
        <w:spacing w:line="360" w:lineRule="auto"/>
        <w:jc w:val="both"/>
        <w:rPr>
          <w:rFonts w:asciiTheme="majorHAnsi" w:hAnsiTheme="majorHAnsi" w:cstheme="majorHAnsi"/>
          <w:color w:val="auto"/>
        </w:rPr>
      </w:pPr>
      <w:r w:rsidRPr="00FE1D0E">
        <w:rPr>
          <w:rStyle w:val="Strong"/>
          <w:rFonts w:asciiTheme="majorHAnsi" w:hAnsiTheme="majorHAnsi" w:cstheme="majorHAnsi"/>
          <w:b/>
          <w:bCs w:val="0"/>
          <w:color w:val="auto"/>
        </w:rPr>
        <w:tab/>
        <w:t>a) Legalidade e Constitucionalidade</w:t>
      </w:r>
    </w:p>
    <w:p w:rsidR="00CA4280" w:rsidRPr="00FE1D0E" w:rsidP="00FE1D0E" w14:paraId="6112DB68" w14:textId="6E5004C3">
      <w:pPr>
        <w:pStyle w:val="NormalWeb"/>
        <w:spacing w:line="360" w:lineRule="auto"/>
        <w:ind w:firstLine="720"/>
        <w:jc w:val="both"/>
        <w:rPr>
          <w:rFonts w:asciiTheme="majorHAnsi" w:hAnsiTheme="majorHAnsi" w:cstheme="majorHAnsi"/>
        </w:rPr>
      </w:pPr>
      <w:r w:rsidRPr="00FE1D0E">
        <w:rPr>
          <w:rFonts w:asciiTheme="majorHAnsi" w:hAnsiTheme="majorHAnsi" w:cstheme="majorHAnsi"/>
        </w:rPr>
        <w:t>A matéria em exame (Substitutivo Nº 1 ao PL nº 138/2025) foi devidamente readequada após análise jurídica preliminar, e agora se apresenta conforme os requisitos de validade e eficácia para proposições legislativas.</w:t>
      </w:r>
      <w:r w:rsidRPr="00FE1D0E" w:rsidR="003B1A59">
        <w:rPr>
          <w:rFonts w:asciiTheme="majorHAnsi" w:hAnsiTheme="majorHAnsi" w:cstheme="majorHAnsi"/>
        </w:rPr>
        <w:t xml:space="preserve"> </w:t>
      </w:r>
    </w:p>
    <w:p w:rsidR="008A6DEB" w:rsidRPr="00FE1D0E" w:rsidP="00FE1D0E" w14:paraId="7321DB9E" w14:textId="77777777">
      <w:pPr>
        <w:pStyle w:val="NormalWeb"/>
        <w:jc w:val="both"/>
        <w:rPr>
          <w:rFonts w:asciiTheme="majorHAnsi" w:hAnsiTheme="majorHAnsi" w:cstheme="majorHAnsi"/>
        </w:rPr>
      </w:pPr>
      <w:r w:rsidRPr="00FE1D0E">
        <w:rPr>
          <w:rFonts w:asciiTheme="majorHAnsi" w:hAnsiTheme="majorHAnsi" w:cstheme="majorHAnsi"/>
          <w:b/>
          <w:bCs/>
        </w:rPr>
        <w:t>Competência Legislativa:</w:t>
      </w:r>
      <w:r w:rsidRPr="00FE1D0E">
        <w:rPr>
          <w:rFonts w:asciiTheme="majorHAnsi" w:hAnsiTheme="majorHAnsi" w:cstheme="majorHAnsi"/>
        </w:rPr>
        <w:t xml:space="preserve"> O Município de Mogi Mirim possui plena competência para legislar sobre a matéria, conforme a Constituição Federal (CF/88). O tema se insere no âmbito do </w:t>
      </w:r>
      <w:r w:rsidRPr="00FE1D0E">
        <w:rPr>
          <w:rFonts w:asciiTheme="majorHAnsi" w:hAnsiTheme="majorHAnsi" w:cstheme="majorHAnsi"/>
          <w:b/>
          <w:bCs/>
        </w:rPr>
        <w:t>interesse local</w:t>
      </w:r>
      <w:r w:rsidRPr="00FE1D0E">
        <w:rPr>
          <w:rFonts w:asciiTheme="majorHAnsi" w:hAnsiTheme="majorHAnsi" w:cstheme="majorHAnsi"/>
        </w:rPr>
        <w:t xml:space="preserve"> (art. 30, I) e está diretamente ligado à </w:t>
      </w:r>
      <w:r w:rsidRPr="00FE1D0E">
        <w:rPr>
          <w:rFonts w:asciiTheme="majorHAnsi" w:hAnsiTheme="majorHAnsi" w:cstheme="majorHAnsi"/>
          <w:b/>
          <w:bCs/>
        </w:rPr>
        <w:t>ordenação do transporte e do uso e ocupação do solo urbano</w:t>
      </w:r>
      <w:r w:rsidRPr="00FE1D0E">
        <w:rPr>
          <w:rFonts w:asciiTheme="majorHAnsi" w:hAnsiTheme="majorHAnsi" w:cstheme="majorHAnsi"/>
        </w:rPr>
        <w:t xml:space="preserve"> (art. 30, V e VIII), matérias de competência suplementar municipal.</w:t>
      </w:r>
    </w:p>
    <w:p w:rsidR="008A6DEB" w:rsidRPr="00FE1D0E" w:rsidP="00FE1D0E" w14:paraId="74F32C7D" w14:textId="77777777">
      <w:pPr>
        <w:pStyle w:val="NormalWeb"/>
        <w:jc w:val="both"/>
        <w:rPr>
          <w:rFonts w:asciiTheme="majorHAnsi" w:hAnsiTheme="majorHAnsi" w:cstheme="majorHAnsi"/>
        </w:rPr>
      </w:pPr>
      <w:r w:rsidRPr="00FE1D0E">
        <w:rPr>
          <w:rFonts w:asciiTheme="majorHAnsi" w:hAnsiTheme="majorHAnsi" w:cstheme="majorHAnsi"/>
          <w:b/>
          <w:bCs/>
        </w:rPr>
        <w:t>Conformidade Normativa:</w:t>
      </w:r>
      <w:r w:rsidRPr="00FE1D0E">
        <w:rPr>
          <w:rFonts w:asciiTheme="majorHAnsi" w:hAnsiTheme="majorHAnsi" w:cstheme="majorHAnsi"/>
        </w:rPr>
        <w:t xml:space="preserve"> A medida está em absoluta consonância com o arcabouço normativo superior:</w:t>
      </w:r>
    </w:p>
    <w:p w:rsidR="008A6DEB" w:rsidRPr="00FE1D0E" w:rsidP="00FE1D0E" w14:paraId="2FFEAD6C" w14:textId="77777777">
      <w:pPr>
        <w:pStyle w:val="NormalWeb"/>
        <w:numPr>
          <w:ilvl w:val="0"/>
          <w:numId w:val="17"/>
        </w:numPr>
        <w:jc w:val="both"/>
        <w:rPr>
          <w:rFonts w:asciiTheme="majorHAnsi" w:hAnsiTheme="majorHAnsi" w:cstheme="majorHAnsi"/>
        </w:rPr>
      </w:pPr>
      <w:r w:rsidRPr="00FE1D0E">
        <w:rPr>
          <w:rFonts w:asciiTheme="majorHAnsi" w:hAnsiTheme="majorHAnsi" w:cstheme="majorHAnsi"/>
          <w:b/>
          <w:bCs/>
        </w:rPr>
        <w:t>Constituição Federal (Art. 6º e 225):</w:t>
      </w:r>
      <w:r w:rsidRPr="00FE1D0E">
        <w:rPr>
          <w:rFonts w:asciiTheme="majorHAnsi" w:hAnsiTheme="majorHAnsi" w:cstheme="majorHAnsi"/>
        </w:rPr>
        <w:t xml:space="preserve"> Atende ao direito social ao transporte e ao direito ao meio ambiente ecologicamente equilibrado.</w:t>
      </w:r>
    </w:p>
    <w:p w:rsidR="008A6DEB" w:rsidRPr="00FE1D0E" w:rsidP="00FE1D0E" w14:paraId="584FE55E" w14:textId="77777777">
      <w:pPr>
        <w:pStyle w:val="NormalWeb"/>
        <w:numPr>
          <w:ilvl w:val="0"/>
          <w:numId w:val="17"/>
        </w:numPr>
        <w:jc w:val="both"/>
        <w:rPr>
          <w:rFonts w:asciiTheme="majorHAnsi" w:hAnsiTheme="majorHAnsi" w:cstheme="majorHAnsi"/>
        </w:rPr>
      </w:pPr>
      <w:r w:rsidRPr="00FE1D0E">
        <w:rPr>
          <w:rFonts w:asciiTheme="majorHAnsi" w:hAnsiTheme="majorHAnsi" w:cstheme="majorHAnsi"/>
          <w:b/>
          <w:bCs/>
        </w:rPr>
        <w:t>Política Nacional de Mobilidade Urbana (Lei Federal nº 12.587/2012):</w:t>
      </w:r>
      <w:r w:rsidRPr="00FE1D0E">
        <w:rPr>
          <w:rFonts w:asciiTheme="majorHAnsi" w:hAnsiTheme="majorHAnsi" w:cstheme="majorHAnsi"/>
        </w:rPr>
        <w:t xml:space="preserve"> O Substitutivo prioriza os modos de transporte não motorizados e ativos, em respeito ao princípio da prioridade.</w:t>
      </w:r>
    </w:p>
    <w:p w:rsidR="008A6DEB" w:rsidRPr="00FE1D0E" w:rsidP="00FE1D0E" w14:paraId="0C1F3EE3" w14:textId="77777777">
      <w:pPr>
        <w:pStyle w:val="NormalWeb"/>
        <w:numPr>
          <w:ilvl w:val="0"/>
          <w:numId w:val="17"/>
        </w:numPr>
        <w:jc w:val="both"/>
        <w:rPr>
          <w:rFonts w:asciiTheme="majorHAnsi" w:hAnsiTheme="majorHAnsi" w:cstheme="majorHAnsi"/>
        </w:rPr>
      </w:pPr>
      <w:r w:rsidRPr="00FE1D0E">
        <w:rPr>
          <w:rFonts w:asciiTheme="majorHAnsi" w:hAnsiTheme="majorHAnsi" w:cstheme="majorHAnsi"/>
          <w:b/>
          <w:bCs/>
        </w:rPr>
        <w:t>Estatuto da Cidade (Lei Federal nº 10.257/2001):</w:t>
      </w:r>
      <w:r w:rsidRPr="00FE1D0E">
        <w:rPr>
          <w:rFonts w:asciiTheme="majorHAnsi" w:hAnsiTheme="majorHAnsi" w:cstheme="majorHAnsi"/>
        </w:rPr>
        <w:t xml:space="preserve"> Promove o planejamento urbano sustentável e o bem-estar da população.</w:t>
      </w:r>
    </w:p>
    <w:p w:rsidR="008A6DEB" w:rsidRPr="00FE1D0E" w:rsidP="00FE1D0E" w14:paraId="25BC47FC" w14:textId="77777777">
      <w:pPr>
        <w:pStyle w:val="NormalWeb"/>
        <w:numPr>
          <w:ilvl w:val="0"/>
          <w:numId w:val="17"/>
        </w:numPr>
        <w:jc w:val="both"/>
        <w:rPr>
          <w:rFonts w:asciiTheme="majorHAnsi" w:hAnsiTheme="majorHAnsi" w:cstheme="majorHAnsi"/>
        </w:rPr>
      </w:pPr>
      <w:r w:rsidRPr="00FE1D0E">
        <w:rPr>
          <w:rFonts w:asciiTheme="majorHAnsi" w:hAnsiTheme="majorHAnsi" w:cstheme="majorHAnsi"/>
          <w:b/>
          <w:bCs/>
        </w:rPr>
        <w:t>Técnica Legislativa:</w:t>
      </w:r>
      <w:r w:rsidRPr="00FE1D0E">
        <w:rPr>
          <w:rFonts w:asciiTheme="majorHAnsi" w:hAnsiTheme="majorHAnsi" w:cstheme="majorHAnsi"/>
        </w:rPr>
        <w:t xml:space="preserve"> O Substitutivo corrigiu as impropriedades formais do Projeto original ao:</w:t>
      </w:r>
    </w:p>
    <w:p w:rsidR="008A6DEB" w:rsidRPr="00FE1D0E" w:rsidP="00FE1D0E" w14:paraId="432246E5" w14:textId="2DF940D7">
      <w:pPr>
        <w:pStyle w:val="NormalWeb"/>
        <w:numPr>
          <w:ilvl w:val="1"/>
          <w:numId w:val="17"/>
        </w:numPr>
        <w:jc w:val="both"/>
        <w:rPr>
          <w:rFonts w:asciiTheme="majorHAnsi" w:hAnsiTheme="majorHAnsi" w:cstheme="majorHAnsi"/>
        </w:rPr>
      </w:pPr>
      <w:r w:rsidRPr="00FE1D0E">
        <w:rPr>
          <w:rFonts w:asciiTheme="majorHAnsi" w:hAnsiTheme="majorHAnsi" w:cstheme="majorHAnsi"/>
        </w:rPr>
        <w:t xml:space="preserve">Definir precisamente os termos-chave, em especial a definição de Bicicletário com referência à </w:t>
      </w:r>
      <w:r w:rsidRPr="00FE1D0E">
        <w:rPr>
          <w:rFonts w:asciiTheme="majorHAnsi" w:hAnsiTheme="majorHAnsi" w:cstheme="majorHAnsi"/>
          <w:b/>
          <w:bCs/>
        </w:rPr>
        <w:t>ABNT NBR 16537:2016</w:t>
      </w:r>
      <w:r w:rsidRPr="00FE1D0E">
        <w:rPr>
          <w:rFonts w:asciiTheme="majorHAnsi" w:hAnsiTheme="majorHAnsi" w:cstheme="majorHAnsi"/>
        </w:rPr>
        <w:t>.</w:t>
      </w:r>
    </w:p>
    <w:p w:rsidR="008A6DEB" w:rsidRPr="00FE1D0E" w:rsidP="00FE1D0E" w14:paraId="15068973" w14:textId="77777777">
      <w:pPr>
        <w:pStyle w:val="NormalWeb"/>
        <w:numPr>
          <w:ilvl w:val="1"/>
          <w:numId w:val="17"/>
        </w:numPr>
        <w:jc w:val="both"/>
        <w:rPr>
          <w:rFonts w:asciiTheme="majorHAnsi" w:hAnsiTheme="majorHAnsi" w:cstheme="majorHAnsi"/>
        </w:rPr>
      </w:pPr>
      <w:r w:rsidRPr="00FE1D0E">
        <w:rPr>
          <w:rFonts w:asciiTheme="majorHAnsi" w:hAnsiTheme="majorHAnsi" w:cstheme="majorHAnsi"/>
        </w:rPr>
        <w:t>Estabelecer critérios objetivos para a aplicação (área mínima, capacidade), conferindo clareza e afastando alegações de incerteza normativa.</w:t>
      </w:r>
    </w:p>
    <w:p w:rsidR="008A6DEB" w:rsidRPr="00FE1D0E" w:rsidP="00FE1D0E" w14:paraId="36D3B47B" w14:textId="77777777">
      <w:pPr>
        <w:pStyle w:val="NormalWeb"/>
        <w:numPr>
          <w:ilvl w:val="1"/>
          <w:numId w:val="17"/>
        </w:numPr>
        <w:jc w:val="both"/>
        <w:rPr>
          <w:rFonts w:asciiTheme="majorHAnsi" w:hAnsiTheme="majorHAnsi" w:cstheme="majorHAnsi"/>
        </w:rPr>
      </w:pPr>
      <w:r w:rsidRPr="00FE1D0E">
        <w:rPr>
          <w:rFonts w:asciiTheme="majorHAnsi" w:hAnsiTheme="majorHAnsi" w:cstheme="majorHAnsi"/>
        </w:rPr>
        <w:t>Delimitar as sanções com remissão ao Código de Postura Municipal, garantindo o devido processo legal na fiscalização.</w:t>
      </w:r>
    </w:p>
    <w:p w:rsidR="008A6DEB" w:rsidRPr="00FE1D0E" w:rsidP="00FE1D0E" w14:paraId="72BF92E5" w14:textId="77777777">
      <w:pPr>
        <w:pStyle w:val="NormalWeb"/>
        <w:jc w:val="both"/>
        <w:rPr>
          <w:rFonts w:asciiTheme="majorHAnsi" w:hAnsiTheme="majorHAnsi" w:cstheme="majorHAnsi"/>
        </w:rPr>
      </w:pPr>
      <w:r w:rsidRPr="00FE1D0E">
        <w:rPr>
          <w:rFonts w:asciiTheme="majorHAnsi" w:hAnsiTheme="majorHAnsi" w:cstheme="majorHAnsi"/>
          <w:b/>
          <w:bCs/>
        </w:rPr>
        <w:t>Portanto, o Substitutivo Nº 1 é, em princípio, legal e constitucional.</w:t>
      </w:r>
    </w:p>
    <w:p w:rsidR="00F74441" w:rsidRPr="00FE1D0E" w:rsidP="00FE1D0E" w14:paraId="0F32780D" w14:textId="48768D2A">
      <w:pPr>
        <w:pStyle w:val="NormalWeb"/>
        <w:spacing w:line="360" w:lineRule="auto"/>
        <w:jc w:val="both"/>
        <w:rPr>
          <w:rFonts w:asciiTheme="majorHAnsi" w:hAnsiTheme="majorHAnsi" w:cstheme="majorHAnsi"/>
        </w:rPr>
      </w:pPr>
      <w:r w:rsidRPr="00FE1D0E">
        <w:rPr>
          <w:rStyle w:val="Strong"/>
          <w:rFonts w:asciiTheme="majorHAnsi" w:hAnsiTheme="majorHAnsi" w:cstheme="majorHAnsi"/>
          <w:bCs w:val="0"/>
        </w:rPr>
        <w:tab/>
        <w:t>b) Conveniência e Oportunidade</w:t>
      </w:r>
    </w:p>
    <w:p w:rsidR="008A6DEB" w:rsidRPr="00FE1D0E" w:rsidP="00FE1D0E" w14:paraId="585C7614" w14:textId="77777777">
      <w:pPr>
        <w:pStyle w:val="NormalWeb"/>
        <w:jc w:val="both"/>
        <w:rPr>
          <w:rFonts w:asciiTheme="majorHAnsi" w:hAnsiTheme="majorHAnsi" w:cstheme="majorHAnsi"/>
        </w:rPr>
      </w:pPr>
      <w:r w:rsidRPr="00FE1D0E">
        <w:rPr>
          <w:rFonts w:asciiTheme="majorHAnsi" w:hAnsiTheme="majorHAnsi" w:cstheme="majorHAnsi"/>
          <w:b/>
        </w:rPr>
        <w:tab/>
      </w:r>
      <w:r w:rsidRPr="00FE1D0E">
        <w:rPr>
          <w:rFonts w:asciiTheme="majorHAnsi" w:hAnsiTheme="majorHAnsi" w:cstheme="majorHAnsi"/>
        </w:rPr>
        <w:t xml:space="preserve">Sob o aspecto da </w:t>
      </w:r>
      <w:r w:rsidRPr="00FE1D0E">
        <w:rPr>
          <w:rFonts w:asciiTheme="majorHAnsi" w:hAnsiTheme="majorHAnsi" w:cstheme="majorHAnsi"/>
          <w:b/>
          <w:bCs/>
        </w:rPr>
        <w:t>Conveniência e Oportunidade</w:t>
      </w:r>
      <w:r w:rsidRPr="00FE1D0E">
        <w:rPr>
          <w:rFonts w:asciiTheme="majorHAnsi" w:hAnsiTheme="majorHAnsi" w:cstheme="majorHAnsi"/>
        </w:rPr>
        <w:t>, a propositura é plenamente meritória e oportuna para o Município de Mogi Mirim, caracterizando-se como uma política pública essencial:</w:t>
      </w:r>
    </w:p>
    <w:p w:rsidR="008A6DEB" w:rsidRPr="00FE1D0E" w:rsidP="00FE1D0E" w14:paraId="6E2AC710" w14:textId="77777777">
      <w:pPr>
        <w:pStyle w:val="NormalWeb"/>
        <w:numPr>
          <w:ilvl w:val="0"/>
          <w:numId w:val="18"/>
        </w:numPr>
        <w:jc w:val="both"/>
        <w:rPr>
          <w:rFonts w:asciiTheme="majorHAnsi" w:hAnsiTheme="majorHAnsi" w:cstheme="majorHAnsi"/>
        </w:rPr>
      </w:pPr>
      <w:r w:rsidRPr="00FE1D0E">
        <w:rPr>
          <w:rFonts w:asciiTheme="majorHAnsi" w:hAnsiTheme="majorHAnsi" w:cstheme="majorHAnsi"/>
          <w:b/>
          <w:bCs/>
        </w:rPr>
        <w:t>Sustentabilidade Urbana:</w:t>
      </w:r>
      <w:r w:rsidRPr="00FE1D0E">
        <w:rPr>
          <w:rFonts w:asciiTheme="majorHAnsi" w:hAnsiTheme="majorHAnsi" w:cstheme="majorHAnsi"/>
        </w:rPr>
        <w:t xml:space="preserve"> Reduz a dependência de veículos automotores, contribuindo para a diminuição da poluição atmosférica e sonora, alinhando-se ao </w:t>
      </w:r>
      <w:r w:rsidRPr="00FE1D0E">
        <w:rPr>
          <w:rFonts w:asciiTheme="majorHAnsi" w:hAnsiTheme="majorHAnsi" w:cstheme="majorHAnsi"/>
          <w:b/>
          <w:bCs/>
        </w:rPr>
        <w:t>ODS 11 da Agenda 2030 (Cidades e Comunidades Sustentáveis)</w:t>
      </w:r>
      <w:r w:rsidRPr="00FE1D0E">
        <w:rPr>
          <w:rFonts w:asciiTheme="majorHAnsi" w:hAnsiTheme="majorHAnsi" w:cstheme="majorHAnsi"/>
        </w:rPr>
        <w:t>.</w:t>
      </w:r>
    </w:p>
    <w:p w:rsidR="008A6DEB" w:rsidRPr="00FE1D0E" w:rsidP="00FE1D0E" w14:paraId="7A239CEE" w14:textId="77777777">
      <w:pPr>
        <w:pStyle w:val="NormalWeb"/>
        <w:numPr>
          <w:ilvl w:val="0"/>
          <w:numId w:val="18"/>
        </w:numPr>
        <w:jc w:val="both"/>
        <w:rPr>
          <w:rFonts w:asciiTheme="majorHAnsi" w:hAnsiTheme="majorHAnsi" w:cstheme="majorHAnsi"/>
        </w:rPr>
      </w:pPr>
      <w:r w:rsidRPr="00FE1D0E">
        <w:rPr>
          <w:rFonts w:asciiTheme="majorHAnsi" w:hAnsiTheme="majorHAnsi" w:cstheme="majorHAnsi"/>
          <w:b/>
          <w:bCs/>
        </w:rPr>
        <w:t>Saúde e Qualidade de Vida:</w:t>
      </w:r>
      <w:r w:rsidRPr="00FE1D0E">
        <w:rPr>
          <w:rFonts w:asciiTheme="majorHAnsi" w:hAnsiTheme="majorHAnsi" w:cstheme="majorHAnsi"/>
        </w:rPr>
        <w:t xml:space="preserve"> Incentiva a mobilidade ativa, promovendo a prática de atividade física e benefícios diretos à saúde pública.</w:t>
      </w:r>
    </w:p>
    <w:p w:rsidR="008A6DEB" w:rsidRPr="00FE1D0E" w:rsidP="00FE1D0E" w14:paraId="43485ADC" w14:textId="77777777">
      <w:pPr>
        <w:pStyle w:val="NormalWeb"/>
        <w:numPr>
          <w:ilvl w:val="0"/>
          <w:numId w:val="18"/>
        </w:numPr>
        <w:jc w:val="both"/>
        <w:rPr>
          <w:rFonts w:asciiTheme="majorHAnsi" w:hAnsiTheme="majorHAnsi" w:cstheme="majorHAnsi"/>
        </w:rPr>
      </w:pPr>
      <w:r w:rsidRPr="00FE1D0E">
        <w:rPr>
          <w:rFonts w:asciiTheme="majorHAnsi" w:hAnsiTheme="majorHAnsi" w:cstheme="majorHAnsi"/>
          <w:b/>
          <w:bCs/>
        </w:rPr>
        <w:t>Segurança e Acessibilidade:</w:t>
      </w:r>
      <w:r w:rsidRPr="00FE1D0E">
        <w:rPr>
          <w:rFonts w:asciiTheme="majorHAnsi" w:hAnsiTheme="majorHAnsi" w:cstheme="majorHAnsi"/>
        </w:rPr>
        <w:t xml:space="preserve"> Garante ao ciclista a infraestrutura mínima para utilizar a bicicleta como modal de transporte para atividades cotidianas (compras, serviços), resolvendo o problema da "última milha" de forma segura.</w:t>
      </w:r>
    </w:p>
    <w:p w:rsidR="008A6DEB" w:rsidRPr="00FE1D0E" w:rsidP="00FE1D0E" w14:paraId="49D28243" w14:textId="77777777">
      <w:pPr>
        <w:pStyle w:val="NormalWeb"/>
        <w:numPr>
          <w:ilvl w:val="0"/>
          <w:numId w:val="18"/>
        </w:numPr>
        <w:jc w:val="both"/>
        <w:rPr>
          <w:rFonts w:asciiTheme="majorHAnsi" w:hAnsiTheme="majorHAnsi" w:cstheme="majorHAnsi"/>
        </w:rPr>
      </w:pPr>
      <w:r w:rsidRPr="00FE1D0E">
        <w:rPr>
          <w:rFonts w:asciiTheme="majorHAnsi" w:hAnsiTheme="majorHAnsi" w:cstheme="majorHAnsi"/>
          <w:b/>
          <w:bCs/>
        </w:rPr>
        <w:t>Harmonia Local:</w:t>
      </w:r>
      <w:r w:rsidRPr="00FE1D0E">
        <w:rPr>
          <w:rFonts w:asciiTheme="majorHAnsi" w:hAnsiTheme="majorHAnsi" w:cstheme="majorHAnsi"/>
        </w:rPr>
        <w:t xml:space="preserve"> A medida complementa a </w:t>
      </w:r>
      <w:r w:rsidRPr="00FE1D0E">
        <w:rPr>
          <w:rFonts w:asciiTheme="majorHAnsi" w:hAnsiTheme="majorHAnsi" w:cstheme="majorHAnsi"/>
          <w:b/>
          <w:bCs/>
        </w:rPr>
        <w:t>Lei Municipal nº 6.740/2024</w:t>
      </w:r>
      <w:r w:rsidRPr="00FE1D0E">
        <w:rPr>
          <w:rFonts w:asciiTheme="majorHAnsi" w:hAnsiTheme="majorHAnsi" w:cstheme="majorHAnsi"/>
        </w:rPr>
        <w:t xml:space="preserve">, que trata da modernização e ampliação do Sistema </w:t>
      </w:r>
      <w:r w:rsidRPr="00FE1D0E">
        <w:rPr>
          <w:rFonts w:asciiTheme="majorHAnsi" w:hAnsiTheme="majorHAnsi" w:cstheme="majorHAnsi"/>
        </w:rPr>
        <w:t>Cicloviário</w:t>
      </w:r>
      <w:r w:rsidRPr="00FE1D0E">
        <w:rPr>
          <w:rFonts w:asciiTheme="majorHAnsi" w:hAnsiTheme="majorHAnsi" w:cstheme="majorHAnsi"/>
        </w:rPr>
        <w:t>, integrando os pontos de grande fluxo (privados) à malha viária pública.</w:t>
      </w:r>
    </w:p>
    <w:p w:rsidR="008A6DEB" w:rsidRPr="00FE1D0E" w:rsidP="00FE1D0E" w14:paraId="2BDC241A" w14:textId="77777777">
      <w:pPr>
        <w:pStyle w:val="NormalWeb"/>
        <w:jc w:val="both"/>
        <w:rPr>
          <w:rFonts w:asciiTheme="majorHAnsi" w:hAnsiTheme="majorHAnsi" w:cstheme="majorHAnsi"/>
        </w:rPr>
      </w:pPr>
      <w:r w:rsidRPr="00FE1D0E">
        <w:rPr>
          <w:rFonts w:asciiTheme="majorHAnsi" w:hAnsiTheme="majorHAnsi" w:cstheme="majorHAnsi"/>
          <w:b/>
          <w:bCs/>
        </w:rPr>
        <w:t>O Substitutivo Nº 1 apresenta mérito indiscutível e está em conformidade com as demandas da mobilidade urbana moderna.</w:t>
      </w:r>
    </w:p>
    <w:p w:rsidR="00F74441" w:rsidRPr="00FE1D0E" w:rsidP="00FE1D0E" w14:paraId="38BA90DC" w14:textId="20F490BF">
      <w:pPr>
        <w:pStyle w:val="NormalWeb"/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>
          <v:rect id="_x0000_i1027" style="width:0;height:0.75pt" o:hralign="center" o:hrstd="t" o:hrnoshade="t" o:hr="t" fillcolor="#404040" stroked="f"/>
        </w:pict>
      </w:r>
    </w:p>
    <w:p w:rsidR="00F74441" w:rsidRPr="00FE1D0E" w:rsidP="00FE1D0E" w14:paraId="68542A3A" w14:textId="15150118">
      <w:pPr>
        <w:pStyle w:val="Heading3"/>
        <w:spacing w:line="360" w:lineRule="auto"/>
        <w:jc w:val="both"/>
        <w:rPr>
          <w:rFonts w:asciiTheme="majorHAnsi" w:hAnsiTheme="majorHAnsi" w:cstheme="majorHAnsi"/>
          <w:color w:val="auto"/>
          <w:sz w:val="24"/>
          <w:szCs w:val="24"/>
        </w:rPr>
      </w:pPr>
      <w:r w:rsidRPr="00FE1D0E">
        <w:rPr>
          <w:rStyle w:val="Strong"/>
          <w:rFonts w:asciiTheme="majorHAnsi" w:hAnsiTheme="majorHAnsi" w:cstheme="majorHAnsi"/>
          <w:b/>
          <w:bCs w:val="0"/>
          <w:color w:val="auto"/>
          <w:sz w:val="24"/>
          <w:szCs w:val="24"/>
        </w:rPr>
        <w:t>III</w:t>
      </w:r>
      <w:r w:rsidRPr="00FE1D0E">
        <w:rPr>
          <w:rStyle w:val="Strong"/>
          <w:rFonts w:asciiTheme="majorHAnsi" w:hAnsiTheme="majorHAnsi" w:cstheme="majorHAnsi"/>
          <w:b/>
          <w:bCs w:val="0"/>
          <w:color w:val="auto"/>
          <w:sz w:val="24"/>
          <w:szCs w:val="24"/>
        </w:rPr>
        <w:t xml:space="preserve"> - OFERECIMENTO DE SUBSTITUTIVO, EMENDAS OU SUBEMENDAS</w:t>
      </w:r>
    </w:p>
    <w:p w:rsidR="00AF0427" w:rsidRPr="00FE1D0E" w:rsidP="00FE1D0E" w14:paraId="6DC33FE8" w14:textId="77777777">
      <w:pPr>
        <w:pStyle w:val="NormalWeb"/>
        <w:jc w:val="both"/>
        <w:rPr>
          <w:rFonts w:asciiTheme="majorHAnsi" w:hAnsiTheme="majorHAnsi" w:cstheme="majorHAnsi"/>
        </w:rPr>
      </w:pPr>
      <w:r w:rsidRPr="00FE1D0E">
        <w:rPr>
          <w:rFonts w:asciiTheme="majorHAnsi" w:hAnsiTheme="majorHAnsi" w:cstheme="majorHAnsi"/>
        </w:rPr>
        <w:t>O Substitutivo Nº 1 sanou os vícios de inconstitucionalidade e legalidade anteriormente detectados, apresentando-se com robustez técnica e jurídica.</w:t>
      </w:r>
    </w:p>
    <w:p w:rsidR="00AF0427" w:rsidRPr="00FE1D0E" w:rsidP="00FE1D0E" w14:paraId="7677A8AE" w14:textId="77777777">
      <w:pPr>
        <w:pStyle w:val="NormalWeb"/>
        <w:jc w:val="both"/>
        <w:rPr>
          <w:rFonts w:asciiTheme="majorHAnsi" w:hAnsiTheme="majorHAnsi" w:cstheme="majorHAnsi"/>
        </w:rPr>
      </w:pPr>
      <w:r w:rsidRPr="00FE1D0E">
        <w:rPr>
          <w:rFonts w:asciiTheme="majorHAnsi" w:hAnsiTheme="majorHAnsi" w:cstheme="majorHAnsi"/>
        </w:rPr>
        <w:t>Não obstante, em atenção à técnica legislativa e para aperfeiçoamento final da redação, sugere-se a seguinte emenda supressiva de caráter estritamente redacional:</w:t>
      </w:r>
    </w:p>
    <w:p w:rsidR="00AF0427" w:rsidRPr="00FE1D0E" w:rsidP="00FE1D0E" w14:paraId="678F0FB9" w14:textId="77777777">
      <w:pPr>
        <w:pStyle w:val="NormalWeb"/>
        <w:jc w:val="both"/>
        <w:rPr>
          <w:rFonts w:asciiTheme="majorHAnsi" w:hAnsiTheme="majorHAnsi" w:cstheme="majorHAnsi"/>
        </w:rPr>
      </w:pPr>
      <w:r w:rsidRPr="00FE1D0E">
        <w:rPr>
          <w:rFonts w:asciiTheme="majorHAnsi" w:hAnsiTheme="majorHAnsi" w:cstheme="majorHAnsi"/>
          <w:b/>
          <w:bCs/>
        </w:rPr>
        <w:t>Emenda Redacional Nº 1/2025 – (Supressiva)</w:t>
      </w:r>
    </w:p>
    <w:p w:rsidR="00AF0427" w:rsidRPr="00FE1D0E" w:rsidP="00FE1D0E" w14:paraId="765B176D" w14:textId="77777777">
      <w:pPr>
        <w:pStyle w:val="NormalWeb"/>
        <w:jc w:val="both"/>
        <w:rPr>
          <w:rFonts w:asciiTheme="majorHAnsi" w:hAnsiTheme="majorHAnsi" w:cstheme="majorHAnsi"/>
        </w:rPr>
      </w:pPr>
      <w:r w:rsidRPr="00FE1D0E">
        <w:rPr>
          <w:rFonts w:asciiTheme="majorHAnsi" w:hAnsiTheme="majorHAnsi" w:cstheme="majorHAnsi"/>
          <w:b/>
          <w:bCs/>
        </w:rPr>
        <w:t>Art. 1º - SUPRIMA-SE o Artigo 6º do Substitutivo Nº 1 ao Projeto de Lei nº 138/2025.</w:t>
      </w:r>
    </w:p>
    <w:p w:rsidR="00AF0427" w:rsidRPr="00FE1D0E" w:rsidP="00FE1D0E" w14:paraId="1F9EAE08" w14:textId="77777777">
      <w:pPr>
        <w:pStyle w:val="NormalWeb"/>
        <w:jc w:val="both"/>
        <w:rPr>
          <w:rFonts w:asciiTheme="majorHAnsi" w:hAnsiTheme="majorHAnsi" w:cstheme="majorHAnsi"/>
        </w:rPr>
      </w:pPr>
      <w:r w:rsidRPr="00FE1D0E">
        <w:rPr>
          <w:rFonts w:asciiTheme="majorHAnsi" w:hAnsiTheme="majorHAnsi" w:cstheme="majorHAnsi"/>
          <w:b/>
          <w:bCs/>
        </w:rPr>
        <w:t>Justificativa:</w:t>
      </w:r>
      <w:r w:rsidRPr="00FE1D0E">
        <w:rPr>
          <w:rFonts w:asciiTheme="majorHAnsi" w:hAnsiTheme="majorHAnsi" w:cstheme="majorHAnsi"/>
        </w:rPr>
        <w:t xml:space="preserve"> O Art. 6º ("Esta lei entra e vigor na data de sua publicação") incorre em vício de redundância e contradição com o Art. 5º, I e II, que já estabelece a regra de vigência escalonada (</w:t>
      </w:r>
      <w:r w:rsidRPr="00FE1D0E">
        <w:rPr>
          <w:rFonts w:asciiTheme="majorHAnsi" w:hAnsiTheme="majorHAnsi" w:cstheme="majorHAnsi"/>
          <w:i/>
          <w:iCs/>
        </w:rPr>
        <w:t>vacatio</w:t>
      </w:r>
      <w:r w:rsidRPr="00FE1D0E">
        <w:rPr>
          <w:rFonts w:asciiTheme="majorHAnsi" w:hAnsiTheme="majorHAnsi" w:cstheme="majorHAnsi"/>
          <w:i/>
          <w:iCs/>
        </w:rPr>
        <w:t xml:space="preserve"> legis</w:t>
      </w:r>
      <w:r w:rsidRPr="00FE1D0E">
        <w:rPr>
          <w:rFonts w:asciiTheme="majorHAnsi" w:hAnsiTheme="majorHAnsi" w:cstheme="majorHAnsi"/>
        </w:rPr>
        <w:t xml:space="preserve"> diferenciada). A supressão garante a coerência e a precisão da técnica legislativa do texto final.</w:t>
      </w:r>
    </w:p>
    <w:p w:rsidR="00F74441" w:rsidRPr="00FE1D0E" w:rsidP="00FE1D0E" w14:paraId="0344C6BF" w14:textId="0A0C80B3">
      <w:pPr>
        <w:pStyle w:val="NormalWeb"/>
        <w:spacing w:line="360" w:lineRule="auto"/>
        <w:ind w:firstLine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>
          <v:rect id="_x0000_i1028" style="width:0;height:0.75pt" o:hralign="center" o:hrstd="t" o:hrnoshade="t" o:hr="t" fillcolor="#404040" stroked="f"/>
        </w:pict>
      </w:r>
    </w:p>
    <w:p w:rsidR="00F74441" w:rsidRPr="00FE1D0E" w:rsidP="00FE1D0E" w14:paraId="0089363A" w14:textId="61D7A752">
      <w:pPr>
        <w:pStyle w:val="Heading3"/>
        <w:spacing w:line="360" w:lineRule="auto"/>
        <w:jc w:val="both"/>
        <w:rPr>
          <w:rFonts w:asciiTheme="majorHAnsi" w:hAnsiTheme="majorHAnsi" w:cstheme="majorHAnsi"/>
          <w:color w:val="auto"/>
          <w:sz w:val="24"/>
          <w:szCs w:val="24"/>
        </w:rPr>
      </w:pPr>
      <w:r w:rsidRPr="00FE1D0E">
        <w:rPr>
          <w:rStyle w:val="Strong"/>
          <w:rFonts w:asciiTheme="majorHAnsi" w:hAnsiTheme="majorHAnsi" w:cstheme="majorHAnsi"/>
          <w:b/>
          <w:bCs w:val="0"/>
          <w:color w:val="auto"/>
          <w:sz w:val="24"/>
          <w:szCs w:val="24"/>
        </w:rPr>
        <w:t>I</w:t>
      </w:r>
      <w:r w:rsidRPr="00FE1D0E">
        <w:rPr>
          <w:rStyle w:val="Strong"/>
          <w:rFonts w:asciiTheme="majorHAnsi" w:hAnsiTheme="majorHAnsi" w:cstheme="majorHAnsi"/>
          <w:b/>
          <w:bCs w:val="0"/>
          <w:color w:val="auto"/>
          <w:sz w:val="24"/>
          <w:szCs w:val="24"/>
        </w:rPr>
        <w:t>V - DECISÃO DA COMISSÃO</w:t>
      </w:r>
    </w:p>
    <w:p w:rsidR="00F74441" w:rsidRPr="00FE1D0E" w:rsidP="00FE1D0E" w14:paraId="2AF20253" w14:textId="356BE85C">
      <w:pPr>
        <w:pStyle w:val="NormalWeb"/>
        <w:spacing w:line="360" w:lineRule="auto"/>
        <w:jc w:val="both"/>
        <w:rPr>
          <w:rStyle w:val="Strong"/>
          <w:rFonts w:asciiTheme="majorHAnsi" w:hAnsiTheme="majorHAnsi" w:cstheme="majorHAnsi"/>
        </w:rPr>
      </w:pPr>
      <w:r w:rsidRPr="00FE1D0E">
        <w:rPr>
          <w:rFonts w:asciiTheme="majorHAnsi" w:hAnsiTheme="majorHAnsi" w:cstheme="majorHAnsi"/>
        </w:rPr>
        <w:tab/>
        <w:t>A Comissão de Justiça e Redação, por unanimidade, </w:t>
      </w:r>
      <w:r w:rsidRPr="00FE1D0E">
        <w:rPr>
          <w:rStyle w:val="Strong"/>
          <w:rFonts w:asciiTheme="majorHAnsi" w:hAnsiTheme="majorHAnsi" w:cstheme="majorHAnsi"/>
        </w:rPr>
        <w:t>aprova</w:t>
      </w:r>
      <w:r w:rsidRPr="00FE1D0E">
        <w:rPr>
          <w:rFonts w:asciiTheme="majorHAnsi" w:hAnsiTheme="majorHAnsi" w:cstheme="majorHAnsi"/>
        </w:rPr>
        <w:t> o Pro</w:t>
      </w:r>
      <w:r w:rsidRPr="00FE1D0E" w:rsidR="004E458F">
        <w:rPr>
          <w:rFonts w:asciiTheme="majorHAnsi" w:hAnsiTheme="majorHAnsi" w:cstheme="majorHAnsi"/>
        </w:rPr>
        <w:t xml:space="preserve">jeto de </w:t>
      </w:r>
      <w:r w:rsidRPr="00FE1D0E" w:rsidR="00FE1D0E">
        <w:rPr>
          <w:rFonts w:asciiTheme="majorHAnsi" w:hAnsiTheme="majorHAnsi" w:cstheme="majorHAnsi"/>
        </w:rPr>
        <w:t>Lei nº</w:t>
      </w:r>
      <w:r w:rsidRPr="00FE1D0E" w:rsidR="00AF0427">
        <w:rPr>
          <w:rFonts w:asciiTheme="majorHAnsi" w:hAnsiTheme="majorHAnsi" w:cstheme="majorHAnsi"/>
        </w:rPr>
        <w:t xml:space="preserve"> 138</w:t>
      </w:r>
      <w:r w:rsidRPr="00FE1D0E">
        <w:rPr>
          <w:rFonts w:asciiTheme="majorHAnsi" w:hAnsiTheme="majorHAnsi" w:cstheme="majorHAnsi"/>
        </w:rPr>
        <w:t xml:space="preserve"> de 2025, </w:t>
      </w:r>
      <w:r w:rsidRPr="00FE1D0E" w:rsidR="00AF0427">
        <w:rPr>
          <w:rStyle w:val="Strong"/>
          <w:rFonts w:asciiTheme="majorHAnsi" w:hAnsiTheme="majorHAnsi" w:cstheme="majorHAnsi"/>
        </w:rPr>
        <w:t>co</w:t>
      </w:r>
      <w:r w:rsidRPr="00FE1D0E" w:rsidR="001A23DA">
        <w:rPr>
          <w:rStyle w:val="Strong"/>
          <w:rFonts w:asciiTheme="majorHAnsi" w:hAnsiTheme="majorHAnsi" w:cstheme="majorHAnsi"/>
        </w:rPr>
        <w:t>m</w:t>
      </w:r>
      <w:r w:rsidRPr="00FE1D0E" w:rsidR="00AF0427">
        <w:rPr>
          <w:rStyle w:val="Strong"/>
          <w:rFonts w:asciiTheme="majorHAnsi" w:hAnsiTheme="majorHAnsi" w:cstheme="majorHAnsi"/>
        </w:rPr>
        <w:t xml:space="preserve"> emenda supressiva</w:t>
      </w:r>
      <w:r w:rsidRPr="00FE1D0E">
        <w:rPr>
          <w:rFonts w:asciiTheme="majorHAnsi" w:hAnsiTheme="majorHAnsi" w:cstheme="majorHAnsi"/>
        </w:rPr>
        <w:t>, considerando-o </w:t>
      </w:r>
      <w:r w:rsidRPr="00FE1D0E" w:rsidR="00A67DE2">
        <w:rPr>
          <w:rStyle w:val="Strong"/>
          <w:rFonts w:asciiTheme="majorHAnsi" w:hAnsiTheme="majorHAnsi" w:cstheme="majorHAnsi"/>
        </w:rPr>
        <w:t>legal,</w:t>
      </w:r>
      <w:r w:rsidRPr="00FE1D0E" w:rsidR="00B56BBF">
        <w:rPr>
          <w:rStyle w:val="Strong"/>
          <w:rFonts w:asciiTheme="majorHAnsi" w:hAnsiTheme="majorHAnsi" w:cstheme="majorHAnsi"/>
        </w:rPr>
        <w:t xml:space="preserve"> constitucional e conveniente.</w:t>
      </w:r>
    </w:p>
    <w:p w:rsidR="00F74441" w:rsidRPr="00FE1D0E" w:rsidP="00FE1D0E" w14:paraId="214FFDEB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FE1D0E" w:rsidP="00FE1D0E" w14:paraId="14CCE9EB" w14:textId="77777777">
      <w:pPr>
        <w:pStyle w:val="NormalWeb"/>
        <w:spacing w:line="360" w:lineRule="auto"/>
        <w:jc w:val="both"/>
        <w:rPr>
          <w:rFonts w:asciiTheme="majorHAnsi" w:hAnsiTheme="majorHAnsi" w:cstheme="majorHAnsi"/>
        </w:rPr>
      </w:pPr>
      <w:r w:rsidRPr="00FE1D0E">
        <w:rPr>
          <w:rStyle w:val="Strong"/>
          <w:rFonts w:asciiTheme="majorHAnsi" w:hAnsiTheme="majorHAnsi" w:cstheme="majorHAnsi"/>
        </w:rPr>
        <w:t>Assinam os membros da Comissão de Justiça e Redação que votaram a favor:</w:t>
      </w:r>
    </w:p>
    <w:p w:rsidR="00346786" w:rsidRPr="00FE1D0E" w:rsidP="00FE1D0E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  <w:jc w:val="both"/>
        <w:rPr>
          <w:rFonts w:asciiTheme="majorHAnsi" w:hAnsiTheme="majorHAnsi" w:cstheme="majorHAnsi"/>
        </w:rPr>
      </w:pPr>
      <w:r w:rsidRPr="00FE1D0E">
        <w:rPr>
          <w:rFonts w:asciiTheme="majorHAnsi" w:hAnsiTheme="majorHAnsi" w:cstheme="majorHAnsi"/>
        </w:rPr>
        <w:t>Vereador Wagner Ricardo Pereira (Presidente)</w:t>
      </w:r>
    </w:p>
    <w:p w:rsidR="00BB410F" w:rsidRPr="00FE1D0E" w:rsidP="00FE1D0E" w14:paraId="52AADB81" w14:textId="43C5D824">
      <w:pPr>
        <w:pStyle w:val="NormalWeb"/>
        <w:numPr>
          <w:ilvl w:val="0"/>
          <w:numId w:val="13"/>
        </w:numPr>
        <w:spacing w:before="0" w:beforeAutospacing="0" w:line="360" w:lineRule="auto"/>
        <w:jc w:val="both"/>
        <w:rPr>
          <w:rFonts w:asciiTheme="majorHAnsi" w:hAnsiTheme="majorHAnsi" w:cstheme="majorHAnsi"/>
        </w:rPr>
      </w:pPr>
      <w:r w:rsidRPr="00FE1D0E">
        <w:rPr>
          <w:rFonts w:asciiTheme="majorHAnsi" w:hAnsiTheme="majorHAnsi" w:cstheme="majorHAnsi"/>
        </w:rPr>
        <w:t>Vereador João V</w:t>
      </w:r>
      <w:r w:rsidRPr="00FE1D0E" w:rsidR="00C8480D">
        <w:rPr>
          <w:rFonts w:asciiTheme="majorHAnsi" w:hAnsiTheme="majorHAnsi" w:cstheme="majorHAnsi"/>
        </w:rPr>
        <w:t xml:space="preserve">ictor </w:t>
      </w:r>
      <w:r w:rsidRPr="00FE1D0E" w:rsidR="00FD088C">
        <w:rPr>
          <w:rFonts w:asciiTheme="majorHAnsi" w:hAnsiTheme="majorHAnsi" w:cstheme="majorHAnsi"/>
        </w:rPr>
        <w:t xml:space="preserve">Coutinho </w:t>
      </w:r>
      <w:r w:rsidRPr="00FE1D0E" w:rsidR="00C8480D">
        <w:rPr>
          <w:rFonts w:asciiTheme="majorHAnsi" w:hAnsiTheme="majorHAnsi" w:cstheme="majorHAnsi"/>
        </w:rPr>
        <w:t>Gasparini (Vice-Presidente</w:t>
      </w:r>
      <w:r w:rsidRPr="00FE1D0E">
        <w:rPr>
          <w:rFonts w:asciiTheme="majorHAnsi" w:hAnsiTheme="majorHAnsi" w:cstheme="majorHAnsi"/>
        </w:rPr>
        <w:t>)</w:t>
      </w:r>
    </w:p>
    <w:p w:rsidR="00346786" w:rsidRPr="00FE1D0E" w:rsidP="00FE1D0E" w14:paraId="25BDC939" w14:textId="4C72315A">
      <w:pPr>
        <w:pStyle w:val="NormalWeb"/>
        <w:numPr>
          <w:ilvl w:val="0"/>
          <w:numId w:val="13"/>
        </w:numPr>
        <w:spacing w:before="0" w:beforeAutospacing="0" w:line="360" w:lineRule="auto"/>
        <w:jc w:val="both"/>
        <w:rPr>
          <w:rFonts w:asciiTheme="majorHAnsi" w:hAnsiTheme="majorHAnsi" w:cstheme="majorHAnsi"/>
        </w:rPr>
      </w:pPr>
      <w:r w:rsidRPr="00FE1D0E">
        <w:rPr>
          <w:rFonts w:asciiTheme="majorHAnsi" w:hAnsiTheme="majorHAnsi" w:cstheme="majorHAnsi"/>
        </w:rPr>
        <w:t>Vereador Wilians Mendes de Oliveira</w:t>
      </w:r>
      <w:r w:rsidRPr="00FE1D0E" w:rsidR="00746224">
        <w:rPr>
          <w:rFonts w:asciiTheme="majorHAnsi" w:hAnsiTheme="majorHAnsi" w:cstheme="majorHAnsi"/>
        </w:rPr>
        <w:t xml:space="preserve"> (Membro</w:t>
      </w:r>
      <w:r w:rsidRPr="00FE1D0E">
        <w:rPr>
          <w:rFonts w:asciiTheme="majorHAnsi" w:hAnsiTheme="majorHAnsi" w:cstheme="majorHAnsi"/>
        </w:rPr>
        <w:t>)</w:t>
      </w:r>
    </w:p>
    <w:p w:rsidR="00F74441" w:rsidRPr="00FE1D0E" w:rsidP="00FE1D0E" w14:paraId="64715406" w14:textId="674A3AC7">
      <w:pPr>
        <w:pStyle w:val="NormalWeb"/>
        <w:spacing w:before="0" w:beforeAutospacing="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>
          <v:rect id="_x0000_i1030" style="width:0;height:0.75pt" o:hrstd="t" o:hrnoshade="t" o:hr="t" fillcolor="#404040" stroked="f"/>
        </w:pict>
      </w:r>
    </w:p>
    <w:p w:rsidR="00F74441" w:rsidRPr="00FE1D0E" w:rsidP="00FE1D0E" w14:paraId="6AB168D8" w14:textId="7B0FC8D2">
      <w:pPr>
        <w:pStyle w:val="NormalWeb"/>
        <w:spacing w:line="360" w:lineRule="auto"/>
        <w:jc w:val="both"/>
        <w:rPr>
          <w:rFonts w:asciiTheme="majorHAnsi" w:hAnsiTheme="majorHAnsi" w:cstheme="majorHAnsi"/>
        </w:rPr>
      </w:pPr>
      <w:r w:rsidRPr="00FE1D0E">
        <w:rPr>
          <w:rStyle w:val="Strong"/>
          <w:rFonts w:asciiTheme="majorHAnsi" w:hAnsiTheme="majorHAnsi" w:cstheme="majorHAnsi"/>
        </w:rPr>
        <w:t>SALA DAS SESSÕES</w:t>
      </w:r>
      <w:r w:rsidRPr="00FE1D0E" w:rsidR="00603CE4">
        <w:rPr>
          <w:rStyle w:val="Strong"/>
          <w:rFonts w:asciiTheme="majorHAnsi" w:hAnsiTheme="majorHAnsi" w:cstheme="majorHAnsi"/>
        </w:rPr>
        <w:t xml:space="preserve"> “VEREADOR SANT</w:t>
      </w:r>
      <w:r w:rsidRPr="00FE1D0E" w:rsidR="00AF0427">
        <w:rPr>
          <w:rStyle w:val="Strong"/>
          <w:rFonts w:asciiTheme="majorHAnsi" w:hAnsiTheme="majorHAnsi" w:cstheme="majorHAnsi"/>
        </w:rPr>
        <w:t>O RÓTTOLI”, em 06 de novembro</w:t>
      </w:r>
      <w:r w:rsidRPr="00FE1D0E">
        <w:rPr>
          <w:rStyle w:val="Strong"/>
          <w:rFonts w:asciiTheme="majorHAnsi" w:hAnsiTheme="majorHAnsi" w:cstheme="majorHAnsi"/>
        </w:rPr>
        <w:t xml:space="preserve"> de 2025.</w:t>
      </w:r>
    </w:p>
    <w:p w:rsidR="003D6D21" w:rsidRPr="00FE1D0E" w:rsidP="00FE1D0E" w14:paraId="5EF6A950" w14:textId="77777777">
      <w:pPr>
        <w:spacing w:before="240" w:line="360" w:lineRule="auto"/>
        <w:jc w:val="both"/>
        <w:rPr>
          <w:rFonts w:asciiTheme="majorHAnsi" w:hAnsiTheme="majorHAnsi" w:cstheme="majorHAnsi"/>
          <w:bCs/>
          <w:i/>
          <w:sz w:val="24"/>
          <w:szCs w:val="24"/>
        </w:rPr>
      </w:pPr>
    </w:p>
    <w:p w:rsidR="00F74441" w:rsidRPr="00FE1D0E" w:rsidP="00FE1D0E" w14:paraId="2F48280A" w14:textId="77777777">
      <w:pPr>
        <w:spacing w:before="240" w:line="360" w:lineRule="auto"/>
        <w:jc w:val="center"/>
        <w:rPr>
          <w:rFonts w:asciiTheme="majorHAnsi" w:hAnsiTheme="majorHAnsi" w:cstheme="majorHAnsi"/>
          <w:i/>
          <w:sz w:val="24"/>
          <w:szCs w:val="24"/>
        </w:rPr>
      </w:pPr>
      <w:r w:rsidRPr="00FE1D0E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FE1D0E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FE1D0E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F74441" w:rsidRPr="00FE1D0E" w:rsidP="00FE1D0E" w14:paraId="7E34DE79" w14:textId="14C6F0CA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  <w:highlight w:val="white"/>
          <w:u w:val="single"/>
        </w:rPr>
      </w:pPr>
      <w:r w:rsidRPr="00FE1D0E">
        <w:rPr>
          <w:rFonts w:asciiTheme="majorHAnsi" w:hAnsiTheme="majorHAnsi" w:cstheme="majorHAnsi"/>
          <w:b/>
          <w:sz w:val="24"/>
          <w:szCs w:val="24"/>
          <w:highlight w:val="white"/>
          <w:u w:val="single"/>
        </w:rPr>
        <w:t>VEREADOR WILIANS MENDES DE OLIVEIRA</w:t>
      </w:r>
    </w:p>
    <w:p w:rsidR="00F74441" w:rsidRPr="00FE1D0E" w:rsidP="00FE1D0E" w14:paraId="4D47B5CD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E1D0E">
        <w:rPr>
          <w:rFonts w:asciiTheme="majorHAnsi" w:hAnsiTheme="majorHAnsi" w:cstheme="majorHAnsi"/>
          <w:sz w:val="24"/>
          <w:szCs w:val="24"/>
        </w:rPr>
        <w:t>Relator</w:t>
      </w:r>
    </w:p>
    <w:p w:rsidR="00F13148" w:rsidRPr="00FE1D0E" w:rsidP="00FE1D0E" w14:paraId="45DD80A7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F74441" w:rsidRPr="00FE1D0E" w:rsidP="00FE1D0E" w14:paraId="0B276300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AF0427" w:rsidRPr="00FE1D0E" w:rsidP="00FE1D0E" w14:paraId="7257D96F" w14:textId="77777777">
      <w:pPr>
        <w:pStyle w:val="Heading3"/>
        <w:jc w:val="both"/>
        <w:rPr>
          <w:rFonts w:asciiTheme="majorHAnsi" w:hAnsiTheme="majorHAnsi" w:cstheme="majorHAnsi"/>
          <w:sz w:val="24"/>
          <w:szCs w:val="24"/>
        </w:rPr>
      </w:pPr>
      <w:r w:rsidRPr="00FE1D0E">
        <w:rPr>
          <w:rFonts w:asciiTheme="majorHAnsi" w:hAnsiTheme="majorHAnsi" w:cstheme="majorHAnsi"/>
          <w:sz w:val="24"/>
          <w:szCs w:val="24"/>
        </w:rPr>
        <w:t>REFERÊNCIAS BIBLIOGRÁFICAS</w:t>
      </w:r>
    </w:p>
    <w:p w:rsidR="00AF0427" w:rsidRPr="00FE1D0E" w:rsidP="00FE1D0E" w14:paraId="2F3D60E6" w14:textId="77777777">
      <w:pPr>
        <w:pStyle w:val="NormalWeb"/>
        <w:numPr>
          <w:ilvl w:val="0"/>
          <w:numId w:val="19"/>
        </w:numPr>
        <w:jc w:val="both"/>
        <w:rPr>
          <w:rFonts w:asciiTheme="majorHAnsi" w:hAnsiTheme="majorHAnsi" w:cstheme="majorHAnsi"/>
        </w:rPr>
      </w:pPr>
      <w:r w:rsidRPr="00FE1D0E">
        <w:rPr>
          <w:rFonts w:asciiTheme="majorHAnsi" w:hAnsiTheme="majorHAnsi" w:cstheme="majorHAnsi"/>
        </w:rPr>
        <w:t xml:space="preserve">BRASIL. </w:t>
      </w:r>
      <w:r w:rsidRPr="00FE1D0E">
        <w:rPr>
          <w:rFonts w:asciiTheme="majorHAnsi" w:hAnsiTheme="majorHAnsi" w:cstheme="majorHAnsi"/>
          <w:b/>
          <w:bCs/>
        </w:rPr>
        <w:t>Constituição da República Federativa do Brasil de 1988</w:t>
      </w:r>
      <w:r w:rsidRPr="00FE1D0E">
        <w:rPr>
          <w:rFonts w:asciiTheme="majorHAnsi" w:hAnsiTheme="majorHAnsi" w:cstheme="majorHAnsi"/>
        </w:rPr>
        <w:t xml:space="preserve">. </w:t>
      </w:r>
      <w:r w:rsidRPr="00FE1D0E">
        <w:rPr>
          <w:rFonts w:asciiTheme="majorHAnsi" w:hAnsiTheme="majorHAnsi" w:cstheme="majorHAnsi"/>
        </w:rPr>
        <w:t>Arts</w:t>
      </w:r>
      <w:r w:rsidRPr="00FE1D0E">
        <w:rPr>
          <w:rFonts w:asciiTheme="majorHAnsi" w:hAnsiTheme="majorHAnsi" w:cstheme="majorHAnsi"/>
        </w:rPr>
        <w:t>. 6º, 30, e 225.</w:t>
      </w:r>
    </w:p>
    <w:p w:rsidR="00AF0427" w:rsidRPr="00FE1D0E" w:rsidP="00FE1D0E" w14:paraId="60BB2ED8" w14:textId="77777777">
      <w:pPr>
        <w:pStyle w:val="NormalWeb"/>
        <w:numPr>
          <w:ilvl w:val="0"/>
          <w:numId w:val="19"/>
        </w:numPr>
        <w:jc w:val="both"/>
        <w:rPr>
          <w:rFonts w:asciiTheme="majorHAnsi" w:hAnsiTheme="majorHAnsi" w:cstheme="majorHAnsi"/>
        </w:rPr>
      </w:pPr>
      <w:r w:rsidRPr="00FE1D0E">
        <w:rPr>
          <w:rFonts w:asciiTheme="majorHAnsi" w:hAnsiTheme="majorHAnsi" w:cstheme="majorHAnsi"/>
        </w:rPr>
        <w:t xml:space="preserve">BRASIL. </w:t>
      </w:r>
      <w:r w:rsidRPr="00FE1D0E">
        <w:rPr>
          <w:rFonts w:asciiTheme="majorHAnsi" w:hAnsiTheme="majorHAnsi" w:cstheme="majorHAnsi"/>
          <w:b/>
          <w:bCs/>
        </w:rPr>
        <w:t>Lei Federal nº 12.587, de 3 de janeiro de 2012</w:t>
      </w:r>
      <w:r w:rsidRPr="00FE1D0E">
        <w:rPr>
          <w:rFonts w:asciiTheme="majorHAnsi" w:hAnsiTheme="majorHAnsi" w:cstheme="majorHAnsi"/>
        </w:rPr>
        <w:t>. Institui a Política Nacional de Mobilidade Urbana.</w:t>
      </w:r>
    </w:p>
    <w:p w:rsidR="00AF0427" w:rsidRPr="00FE1D0E" w:rsidP="00FE1D0E" w14:paraId="080105C4" w14:textId="77777777">
      <w:pPr>
        <w:pStyle w:val="NormalWeb"/>
        <w:numPr>
          <w:ilvl w:val="0"/>
          <w:numId w:val="19"/>
        </w:numPr>
        <w:jc w:val="both"/>
        <w:rPr>
          <w:rFonts w:asciiTheme="majorHAnsi" w:hAnsiTheme="majorHAnsi" w:cstheme="majorHAnsi"/>
        </w:rPr>
      </w:pPr>
      <w:r w:rsidRPr="00FE1D0E">
        <w:rPr>
          <w:rFonts w:asciiTheme="majorHAnsi" w:hAnsiTheme="majorHAnsi" w:cstheme="majorHAnsi"/>
        </w:rPr>
        <w:t xml:space="preserve">BRASIL. </w:t>
      </w:r>
      <w:r w:rsidRPr="00FE1D0E">
        <w:rPr>
          <w:rFonts w:asciiTheme="majorHAnsi" w:hAnsiTheme="majorHAnsi" w:cstheme="majorHAnsi"/>
          <w:b/>
          <w:bCs/>
        </w:rPr>
        <w:t>Lei Federal nº 10.257, de 10 de julho de 2001</w:t>
      </w:r>
      <w:r w:rsidRPr="00FE1D0E">
        <w:rPr>
          <w:rFonts w:asciiTheme="majorHAnsi" w:hAnsiTheme="majorHAnsi" w:cstheme="majorHAnsi"/>
        </w:rPr>
        <w:t>. Estatuto da Cidade.</w:t>
      </w:r>
    </w:p>
    <w:p w:rsidR="00AF0427" w:rsidRPr="00FE1D0E" w:rsidP="00FE1D0E" w14:paraId="2A46D5E5" w14:textId="77777777">
      <w:pPr>
        <w:pStyle w:val="NormalWeb"/>
        <w:numPr>
          <w:ilvl w:val="0"/>
          <w:numId w:val="19"/>
        </w:numPr>
        <w:jc w:val="both"/>
        <w:rPr>
          <w:rFonts w:asciiTheme="majorHAnsi" w:hAnsiTheme="majorHAnsi" w:cstheme="majorHAnsi"/>
        </w:rPr>
      </w:pPr>
      <w:r w:rsidRPr="00FE1D0E">
        <w:rPr>
          <w:rFonts w:asciiTheme="majorHAnsi" w:hAnsiTheme="majorHAnsi" w:cstheme="majorHAnsi"/>
        </w:rPr>
        <w:t xml:space="preserve">BRASIL. </w:t>
      </w:r>
      <w:r w:rsidRPr="00FE1D0E">
        <w:rPr>
          <w:rFonts w:asciiTheme="majorHAnsi" w:hAnsiTheme="majorHAnsi" w:cstheme="majorHAnsi"/>
          <w:b/>
          <w:bCs/>
        </w:rPr>
        <w:t>Lei Federal nº 9.503, de 23 de setembro de 1997</w:t>
      </w:r>
      <w:r w:rsidRPr="00FE1D0E">
        <w:rPr>
          <w:rFonts w:asciiTheme="majorHAnsi" w:hAnsiTheme="majorHAnsi" w:cstheme="majorHAnsi"/>
        </w:rPr>
        <w:t>. Código de Trânsito Brasileiro.</w:t>
      </w:r>
    </w:p>
    <w:p w:rsidR="00AF0427" w:rsidRPr="00FE1D0E" w:rsidP="00FE1D0E" w14:paraId="7A8873AD" w14:textId="77777777">
      <w:pPr>
        <w:pStyle w:val="NormalWeb"/>
        <w:numPr>
          <w:ilvl w:val="0"/>
          <w:numId w:val="19"/>
        </w:numPr>
        <w:jc w:val="both"/>
        <w:rPr>
          <w:rFonts w:asciiTheme="majorHAnsi" w:hAnsiTheme="majorHAnsi" w:cstheme="majorHAnsi"/>
        </w:rPr>
      </w:pPr>
      <w:r w:rsidRPr="00FE1D0E">
        <w:rPr>
          <w:rFonts w:asciiTheme="majorHAnsi" w:hAnsiTheme="majorHAnsi" w:cstheme="majorHAnsi"/>
        </w:rPr>
        <w:t xml:space="preserve">ASSOCIAÇÃO BRASILEIRA DE NORMAS TÉCNICAS (ABNT). </w:t>
      </w:r>
      <w:r w:rsidRPr="00FE1D0E">
        <w:rPr>
          <w:rFonts w:asciiTheme="majorHAnsi" w:hAnsiTheme="majorHAnsi" w:cstheme="majorHAnsi"/>
          <w:b/>
          <w:bCs/>
        </w:rPr>
        <w:t>NBR 16537:2016 – Bicicletário: Requisitos de Projeto</w:t>
      </w:r>
      <w:r w:rsidRPr="00FE1D0E">
        <w:rPr>
          <w:rFonts w:asciiTheme="majorHAnsi" w:hAnsiTheme="majorHAnsi" w:cstheme="majorHAnsi"/>
        </w:rPr>
        <w:t>.</w:t>
      </w:r>
    </w:p>
    <w:p w:rsidR="00AF0427" w:rsidRPr="00FE1D0E" w:rsidP="00FE1D0E" w14:paraId="5FCAAA9B" w14:textId="77777777">
      <w:pPr>
        <w:pStyle w:val="NormalWeb"/>
        <w:numPr>
          <w:ilvl w:val="0"/>
          <w:numId w:val="19"/>
        </w:numPr>
        <w:jc w:val="both"/>
        <w:rPr>
          <w:rFonts w:asciiTheme="majorHAnsi" w:hAnsiTheme="majorHAnsi" w:cstheme="majorHAnsi"/>
        </w:rPr>
      </w:pPr>
      <w:r w:rsidRPr="00FE1D0E">
        <w:rPr>
          <w:rFonts w:asciiTheme="majorHAnsi" w:hAnsiTheme="majorHAnsi" w:cstheme="majorHAnsi"/>
        </w:rPr>
        <w:t xml:space="preserve">MOGI MIRIM. </w:t>
      </w:r>
      <w:r w:rsidRPr="00FE1D0E">
        <w:rPr>
          <w:rFonts w:asciiTheme="majorHAnsi" w:hAnsiTheme="majorHAnsi" w:cstheme="majorHAnsi"/>
          <w:b/>
          <w:bCs/>
        </w:rPr>
        <w:t>Lei Ordinária Municipal nº 6.740/2024</w:t>
      </w:r>
      <w:r w:rsidRPr="00FE1D0E">
        <w:rPr>
          <w:rFonts w:asciiTheme="majorHAnsi" w:hAnsiTheme="majorHAnsi" w:cstheme="majorHAnsi"/>
        </w:rPr>
        <w:t xml:space="preserve">. Dispõe sobre a Modernização e Ampliação do Sistema </w:t>
      </w:r>
      <w:r w:rsidRPr="00FE1D0E">
        <w:rPr>
          <w:rFonts w:asciiTheme="majorHAnsi" w:hAnsiTheme="majorHAnsi" w:cstheme="majorHAnsi"/>
        </w:rPr>
        <w:t>Cicloviário</w:t>
      </w:r>
      <w:r w:rsidRPr="00FE1D0E">
        <w:rPr>
          <w:rFonts w:asciiTheme="majorHAnsi" w:hAnsiTheme="majorHAnsi" w:cstheme="majorHAnsi"/>
        </w:rPr>
        <w:t xml:space="preserve"> no Município.</w:t>
      </w:r>
    </w:p>
    <w:p w:rsidR="00AF0427" w:rsidRPr="00FE1D0E" w:rsidP="00FE1D0E" w14:paraId="7CFFF8C3" w14:textId="77777777">
      <w:pPr>
        <w:pStyle w:val="NormalWeb"/>
        <w:numPr>
          <w:ilvl w:val="0"/>
          <w:numId w:val="19"/>
        </w:numPr>
        <w:jc w:val="both"/>
        <w:rPr>
          <w:rFonts w:asciiTheme="majorHAnsi" w:hAnsiTheme="majorHAnsi" w:cstheme="majorHAnsi"/>
        </w:rPr>
      </w:pPr>
      <w:r w:rsidRPr="00FE1D0E">
        <w:rPr>
          <w:rFonts w:asciiTheme="majorHAnsi" w:hAnsiTheme="majorHAnsi" w:cstheme="majorHAnsi"/>
        </w:rPr>
        <w:t xml:space="preserve">ORGANIZAÇÃO DAS NAÇÕES UNIDAS (ONU). </w:t>
      </w:r>
      <w:r w:rsidRPr="00FE1D0E">
        <w:rPr>
          <w:rFonts w:asciiTheme="majorHAnsi" w:hAnsiTheme="majorHAnsi" w:cstheme="majorHAnsi"/>
          <w:b/>
          <w:bCs/>
        </w:rPr>
        <w:t>Agenda 2030 – Objetivo de Desenvolvimento Sustentável nº 11</w:t>
      </w:r>
      <w:r w:rsidRPr="00FE1D0E">
        <w:rPr>
          <w:rFonts w:asciiTheme="majorHAnsi" w:hAnsiTheme="majorHAnsi" w:cstheme="majorHAnsi"/>
        </w:rPr>
        <w:t>.</w:t>
      </w:r>
    </w:p>
    <w:p w:rsidR="00AF0427" w:rsidRPr="00FE1D0E" w:rsidP="00FE1D0E" w14:paraId="27982A62" w14:textId="77777777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B65347" w:rsidRPr="00FE1D0E" w:rsidP="00FE1D0E" w14:paraId="365516DA" w14:textId="3AD52559">
      <w:pPr>
        <w:pStyle w:val="NormalWeb"/>
        <w:spacing w:before="0" w:beforeAutospacing="0" w:line="360" w:lineRule="auto"/>
        <w:jc w:val="both"/>
        <w:rPr>
          <w:rFonts w:asciiTheme="majorHAnsi" w:hAnsiTheme="majorHAnsi" w:cstheme="majorHAnsi"/>
        </w:rPr>
      </w:pPr>
    </w:p>
    <w:p w:rsidR="00AF0427" w:rsidRPr="00FE1D0E" w:rsidP="00FE1D0E" w14:paraId="3707FB99" w14:textId="77777777">
      <w:pPr>
        <w:pStyle w:val="NormalWeb"/>
        <w:spacing w:before="0" w:beforeAutospacing="0" w:line="360" w:lineRule="auto"/>
        <w:jc w:val="both"/>
        <w:rPr>
          <w:rFonts w:asciiTheme="majorHAnsi" w:hAnsiTheme="majorHAnsi" w:cstheme="majorHAnsi"/>
        </w:rPr>
      </w:pPr>
    </w:p>
    <w:p w:rsidR="00AF0427" w:rsidRPr="00FE1D0E" w:rsidP="00FE1D0E" w14:paraId="484BEA5C" w14:textId="77777777">
      <w:pPr>
        <w:pStyle w:val="NormalWeb"/>
        <w:spacing w:before="0" w:beforeAutospacing="0" w:line="360" w:lineRule="auto"/>
        <w:jc w:val="both"/>
        <w:rPr>
          <w:rFonts w:asciiTheme="majorHAnsi" w:hAnsiTheme="majorHAnsi" w:cstheme="majorHAnsi"/>
        </w:rPr>
      </w:pPr>
    </w:p>
    <w:p w:rsidR="00AF0427" w:rsidRPr="00FE1D0E" w:rsidP="00FE1D0E" w14:paraId="236A9F32" w14:textId="77777777">
      <w:pPr>
        <w:pStyle w:val="NormalWeb"/>
        <w:spacing w:before="0" w:beforeAutospacing="0" w:line="360" w:lineRule="auto"/>
        <w:jc w:val="both"/>
        <w:rPr>
          <w:rFonts w:asciiTheme="majorHAnsi" w:hAnsiTheme="majorHAnsi" w:cstheme="majorHAnsi"/>
        </w:rPr>
      </w:pPr>
    </w:p>
    <w:p w:rsidR="00AF0427" w:rsidRPr="00FE1D0E" w:rsidP="00FE1D0E" w14:paraId="4C69F77D" w14:textId="77777777">
      <w:pPr>
        <w:pStyle w:val="NormalWeb"/>
        <w:spacing w:before="0" w:beforeAutospacing="0" w:line="360" w:lineRule="auto"/>
        <w:jc w:val="both"/>
        <w:rPr>
          <w:rFonts w:asciiTheme="majorHAnsi" w:hAnsiTheme="majorHAnsi" w:cstheme="majorHAnsi"/>
        </w:rPr>
      </w:pPr>
    </w:p>
    <w:p w:rsidR="00AF0427" w:rsidRPr="00FE1D0E" w:rsidP="00FE1D0E" w14:paraId="18484457" w14:textId="77777777">
      <w:pPr>
        <w:pStyle w:val="NormalWeb"/>
        <w:spacing w:before="0" w:beforeAutospacing="0" w:line="360" w:lineRule="auto"/>
        <w:jc w:val="both"/>
        <w:rPr>
          <w:rFonts w:asciiTheme="majorHAnsi" w:hAnsiTheme="majorHAnsi" w:cstheme="majorHAnsi"/>
        </w:rPr>
      </w:pPr>
    </w:p>
    <w:p w:rsidR="00AF0427" w:rsidRPr="00FE1D0E" w:rsidP="00FE1D0E" w14:paraId="27726D7D" w14:textId="77777777">
      <w:pPr>
        <w:pStyle w:val="NormalWeb"/>
        <w:spacing w:before="0" w:beforeAutospacing="0" w:line="360" w:lineRule="auto"/>
        <w:jc w:val="both"/>
        <w:rPr>
          <w:rFonts w:asciiTheme="majorHAnsi" w:hAnsiTheme="majorHAnsi" w:cstheme="majorHAnsi"/>
        </w:rPr>
      </w:pPr>
    </w:p>
    <w:p w:rsidR="00AF0427" w:rsidRPr="00FE1D0E" w:rsidP="00FE1D0E" w14:paraId="6BDF0A82" w14:textId="77777777">
      <w:pPr>
        <w:pStyle w:val="NormalWeb"/>
        <w:spacing w:before="0" w:beforeAutospacing="0" w:line="360" w:lineRule="auto"/>
        <w:jc w:val="both"/>
        <w:rPr>
          <w:rFonts w:asciiTheme="majorHAnsi" w:hAnsiTheme="majorHAnsi" w:cstheme="majorHAnsi"/>
        </w:rPr>
      </w:pPr>
    </w:p>
    <w:p w:rsidR="00AF0427" w:rsidRPr="00FE1D0E" w:rsidP="00FE1D0E" w14:paraId="66A2FC9C" w14:textId="77777777">
      <w:pPr>
        <w:pStyle w:val="NormalWeb"/>
        <w:spacing w:before="0" w:beforeAutospacing="0" w:line="360" w:lineRule="auto"/>
        <w:jc w:val="both"/>
        <w:rPr>
          <w:rFonts w:asciiTheme="majorHAnsi" w:hAnsiTheme="majorHAnsi" w:cstheme="majorHAnsi"/>
        </w:rPr>
      </w:pPr>
    </w:p>
    <w:p w:rsidR="00AF0427" w:rsidRPr="00FE1D0E" w:rsidP="00FE1D0E" w14:paraId="15C1CF5B" w14:textId="77777777">
      <w:pPr>
        <w:pStyle w:val="NormalWeb"/>
        <w:spacing w:before="0" w:beforeAutospacing="0" w:line="360" w:lineRule="auto"/>
        <w:jc w:val="both"/>
        <w:rPr>
          <w:rFonts w:asciiTheme="majorHAnsi" w:hAnsiTheme="majorHAnsi" w:cstheme="majorHAnsi"/>
        </w:rPr>
      </w:pPr>
    </w:p>
    <w:p w:rsidR="00F13148" w:rsidRPr="00FE1D0E" w:rsidP="00FE1D0E" w14:paraId="2BB5648D" w14:textId="1CFB5E1A">
      <w:pPr>
        <w:spacing w:line="380" w:lineRule="atLeast"/>
        <w:jc w:val="both"/>
        <w:rPr>
          <w:rFonts w:asciiTheme="majorHAnsi" w:hAnsiTheme="majorHAnsi" w:cstheme="majorHAnsi"/>
          <w:b/>
          <w:sz w:val="24"/>
          <w:szCs w:val="24"/>
        </w:rPr>
      </w:pPr>
      <w:r w:rsidRPr="00FE1D0E">
        <w:rPr>
          <w:rFonts w:asciiTheme="majorHAnsi" w:hAnsiTheme="majorHAnsi" w:cstheme="majorHAnsi"/>
          <w:b/>
          <w:sz w:val="24"/>
          <w:szCs w:val="24"/>
        </w:rPr>
        <w:t>PARECER DA</w:t>
      </w:r>
      <w:r w:rsidR="009E7D37">
        <w:rPr>
          <w:rFonts w:asciiTheme="majorHAnsi" w:hAnsiTheme="majorHAnsi" w:cstheme="majorHAnsi"/>
          <w:b/>
          <w:sz w:val="24"/>
          <w:szCs w:val="24"/>
        </w:rPr>
        <w:t>S COMISSÕES</w:t>
      </w:r>
      <w:r w:rsidRPr="00FE1D0E">
        <w:rPr>
          <w:rFonts w:asciiTheme="majorHAnsi" w:hAnsiTheme="majorHAnsi" w:cstheme="majorHAnsi"/>
          <w:b/>
          <w:sz w:val="24"/>
          <w:szCs w:val="24"/>
        </w:rPr>
        <w:t xml:space="preserve"> DE JUSTIÇA E</w:t>
      </w:r>
      <w:r w:rsidRPr="00FE1D0E" w:rsidR="008E1495">
        <w:rPr>
          <w:rFonts w:asciiTheme="majorHAnsi" w:hAnsiTheme="majorHAnsi" w:cstheme="majorHAnsi"/>
          <w:b/>
          <w:sz w:val="24"/>
          <w:szCs w:val="24"/>
        </w:rPr>
        <w:t xml:space="preserve"> REDAÇÃO</w:t>
      </w:r>
      <w:r w:rsidR="009E7D37">
        <w:rPr>
          <w:rFonts w:asciiTheme="majorHAnsi" w:hAnsiTheme="majorHAnsi" w:cstheme="majorHAnsi"/>
          <w:b/>
          <w:sz w:val="24"/>
          <w:szCs w:val="24"/>
        </w:rPr>
        <w:t>, OBRAS, SERVIÇOS PÚBLICOS E ATIVIDADES PRIVADAS E FINANÇAS E ORÇAMENTO</w:t>
      </w:r>
      <w:r w:rsidRPr="00FE1D0E" w:rsidR="00D95652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FE1D0E" w:rsidR="00FE1D0E">
        <w:rPr>
          <w:rFonts w:asciiTheme="majorHAnsi" w:hAnsiTheme="majorHAnsi" w:cstheme="majorHAnsi"/>
          <w:b/>
          <w:sz w:val="24"/>
          <w:szCs w:val="24"/>
        </w:rPr>
        <w:t>AO PROJETO DE LEI N° 138</w:t>
      </w:r>
      <w:r w:rsidRPr="00FE1D0E">
        <w:rPr>
          <w:rFonts w:asciiTheme="majorHAnsi" w:hAnsiTheme="majorHAnsi" w:cstheme="majorHAnsi"/>
          <w:b/>
          <w:sz w:val="24"/>
          <w:szCs w:val="24"/>
        </w:rPr>
        <w:t xml:space="preserve"> DE 2025 DE AUTORIA </w:t>
      </w:r>
      <w:r w:rsidRPr="00FE1D0E" w:rsidR="00FE1D0E">
        <w:rPr>
          <w:rFonts w:asciiTheme="majorHAnsi" w:hAnsiTheme="majorHAnsi" w:cstheme="majorHAnsi"/>
          <w:b/>
          <w:sz w:val="24"/>
          <w:szCs w:val="24"/>
        </w:rPr>
        <w:t>DOS VEREADORES MÁRCIO DENER CORAN E CINOÊ DUZO</w:t>
      </w:r>
      <w:r w:rsidR="009E7D37">
        <w:rPr>
          <w:rFonts w:asciiTheme="majorHAnsi" w:hAnsiTheme="majorHAnsi" w:cstheme="majorHAnsi"/>
          <w:b/>
          <w:sz w:val="24"/>
          <w:szCs w:val="24"/>
        </w:rPr>
        <w:t>.</w:t>
      </w:r>
    </w:p>
    <w:p w:rsidR="00F13148" w:rsidRPr="00FE1D0E" w:rsidP="00FE1D0E" w14:paraId="68DF435F" w14:textId="77777777">
      <w:pPr>
        <w:spacing w:line="380" w:lineRule="atLeast"/>
        <w:jc w:val="both"/>
        <w:rPr>
          <w:rFonts w:asciiTheme="majorHAnsi" w:hAnsiTheme="majorHAnsi" w:cstheme="majorHAnsi"/>
          <w:sz w:val="24"/>
          <w:szCs w:val="24"/>
        </w:rPr>
      </w:pPr>
    </w:p>
    <w:p w:rsidR="00F13148" w:rsidRPr="00FE1D0E" w:rsidP="00FE1D0E" w14:paraId="58287EA8" w14:textId="5983A9B6">
      <w:pPr>
        <w:spacing w:line="380" w:lineRule="atLeast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FE1D0E">
        <w:rPr>
          <w:rFonts w:asciiTheme="majorHAnsi" w:hAnsiTheme="majorHAnsi" w:cstheme="majorHAnsi"/>
          <w:sz w:val="24"/>
          <w:szCs w:val="24"/>
        </w:rPr>
        <w:t>Seguindo o Voto exarado pelo Relator e conforme determina o artigo 35</w:t>
      </w:r>
      <w:r w:rsidR="009E7D37">
        <w:rPr>
          <w:rFonts w:asciiTheme="majorHAnsi" w:hAnsiTheme="majorHAnsi" w:cstheme="majorHAnsi"/>
          <w:sz w:val="24"/>
          <w:szCs w:val="24"/>
        </w:rPr>
        <w:t>,37 e 38</w:t>
      </w:r>
      <w:r w:rsidRPr="00FE1D0E" w:rsidR="00603CE4">
        <w:rPr>
          <w:rFonts w:asciiTheme="majorHAnsi" w:hAnsiTheme="majorHAnsi" w:cstheme="majorHAnsi"/>
          <w:sz w:val="24"/>
          <w:szCs w:val="24"/>
        </w:rPr>
        <w:t xml:space="preserve"> </w:t>
      </w:r>
      <w:r w:rsidRPr="00FE1D0E">
        <w:rPr>
          <w:rFonts w:asciiTheme="majorHAnsi" w:hAnsiTheme="majorHAnsi" w:cstheme="majorHAnsi"/>
          <w:sz w:val="24"/>
          <w:szCs w:val="24"/>
        </w:rPr>
        <w:t xml:space="preserve">da Resolução n° 276 de 09 de novembro de 2010 a Comissão </w:t>
      </w:r>
      <w:r w:rsidRPr="00FE1D0E" w:rsidR="00996888">
        <w:rPr>
          <w:rFonts w:asciiTheme="majorHAnsi" w:hAnsiTheme="majorHAnsi" w:cstheme="majorHAnsi"/>
          <w:sz w:val="24"/>
          <w:szCs w:val="24"/>
        </w:rPr>
        <w:t>P</w:t>
      </w:r>
      <w:r w:rsidRPr="00FE1D0E" w:rsidR="00DC6027">
        <w:rPr>
          <w:rFonts w:asciiTheme="majorHAnsi" w:hAnsiTheme="majorHAnsi" w:cstheme="majorHAnsi"/>
          <w:sz w:val="24"/>
          <w:szCs w:val="24"/>
        </w:rPr>
        <w:t xml:space="preserve">ermanente de Justiça e Redação </w:t>
      </w:r>
      <w:r w:rsidRPr="00FE1D0E">
        <w:rPr>
          <w:rFonts w:asciiTheme="majorHAnsi" w:hAnsiTheme="majorHAnsi" w:cstheme="majorHAnsi"/>
          <w:sz w:val="24"/>
          <w:szCs w:val="24"/>
        </w:rPr>
        <w:t>formaliza o presente PARECER F</w:t>
      </w:r>
      <w:r w:rsidRPr="00FE1D0E" w:rsidR="00996888">
        <w:rPr>
          <w:rFonts w:asciiTheme="majorHAnsi" w:hAnsiTheme="majorHAnsi" w:cstheme="majorHAnsi"/>
          <w:sz w:val="24"/>
          <w:szCs w:val="24"/>
        </w:rPr>
        <w:t>AVORÁVEL ao Proj</w:t>
      </w:r>
      <w:r w:rsidRPr="00FE1D0E" w:rsidR="00FE1D0E">
        <w:rPr>
          <w:rFonts w:asciiTheme="majorHAnsi" w:hAnsiTheme="majorHAnsi" w:cstheme="majorHAnsi"/>
          <w:sz w:val="24"/>
          <w:szCs w:val="24"/>
        </w:rPr>
        <w:t>eto de Lei n° 138</w:t>
      </w:r>
      <w:r w:rsidRPr="00FE1D0E" w:rsidR="00E97358">
        <w:rPr>
          <w:rFonts w:asciiTheme="majorHAnsi" w:hAnsiTheme="majorHAnsi" w:cstheme="majorHAnsi"/>
          <w:sz w:val="24"/>
          <w:szCs w:val="24"/>
        </w:rPr>
        <w:t xml:space="preserve"> </w:t>
      </w:r>
      <w:r w:rsidRPr="00FE1D0E">
        <w:rPr>
          <w:rFonts w:asciiTheme="majorHAnsi" w:hAnsiTheme="majorHAnsi" w:cstheme="majorHAnsi"/>
          <w:sz w:val="24"/>
          <w:szCs w:val="24"/>
        </w:rPr>
        <w:t>de 2025.</w:t>
      </w:r>
    </w:p>
    <w:p w:rsidR="00F13148" w:rsidRPr="00FE1D0E" w:rsidP="00FE1D0E" w14:paraId="248FE97F" w14:textId="77777777">
      <w:pPr>
        <w:spacing w:line="380" w:lineRule="atLeast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:rsidR="00F13148" w:rsidRPr="00FE1D0E" w:rsidP="00FE1D0E" w14:paraId="3FFD6748" w14:textId="77777777">
      <w:pPr>
        <w:spacing w:line="380" w:lineRule="atLeast"/>
        <w:jc w:val="both"/>
        <w:rPr>
          <w:rFonts w:asciiTheme="majorHAnsi" w:hAnsiTheme="majorHAnsi" w:cstheme="majorHAnsi"/>
          <w:bCs/>
          <w:sz w:val="24"/>
          <w:szCs w:val="24"/>
        </w:rPr>
      </w:pPr>
    </w:p>
    <w:p w:rsidR="00F13148" w:rsidRPr="00FE1D0E" w:rsidP="00FE1D0E" w14:paraId="77700D32" w14:textId="77777777">
      <w:pPr>
        <w:spacing w:line="380" w:lineRule="atLeast"/>
        <w:jc w:val="both"/>
        <w:rPr>
          <w:rFonts w:asciiTheme="majorHAnsi" w:hAnsiTheme="majorHAnsi" w:cstheme="majorHAnsi"/>
          <w:bCs/>
          <w:sz w:val="24"/>
          <w:szCs w:val="24"/>
        </w:rPr>
      </w:pPr>
    </w:p>
    <w:p w:rsidR="00F518B8" w:rsidRPr="00AF0427" w:rsidP="00996888" w14:paraId="2D71AED4" w14:textId="3627EB7F">
      <w:pPr>
        <w:spacing w:line="380" w:lineRule="atLeast"/>
        <w:jc w:val="center"/>
        <w:rPr>
          <w:rFonts w:asciiTheme="majorHAnsi" w:hAnsiTheme="majorHAnsi" w:cstheme="majorHAnsi"/>
          <w:bCs/>
          <w:sz w:val="24"/>
          <w:szCs w:val="24"/>
        </w:rPr>
      </w:pPr>
      <w:r w:rsidRPr="00AF0427">
        <w:rPr>
          <w:rFonts w:asciiTheme="majorHAnsi" w:hAnsiTheme="majorHAnsi" w:cstheme="majorHAnsi"/>
          <w:bCs/>
          <w:sz w:val="24"/>
          <w:szCs w:val="24"/>
        </w:rPr>
        <w:t xml:space="preserve">Sala das </w:t>
      </w:r>
      <w:r w:rsidR="00FE1D0E">
        <w:rPr>
          <w:rFonts w:asciiTheme="majorHAnsi" w:hAnsiTheme="majorHAnsi" w:cstheme="majorHAnsi"/>
          <w:bCs/>
          <w:sz w:val="24"/>
          <w:szCs w:val="24"/>
        </w:rPr>
        <w:t>Comissões, 06</w:t>
      </w:r>
      <w:r w:rsidRPr="00AF0427" w:rsidR="00DC6027">
        <w:rPr>
          <w:rFonts w:asciiTheme="majorHAnsi" w:hAnsiTheme="majorHAnsi" w:cstheme="majorHAnsi"/>
          <w:bCs/>
          <w:sz w:val="24"/>
          <w:szCs w:val="24"/>
        </w:rPr>
        <w:t xml:space="preserve"> de </w:t>
      </w:r>
      <w:r w:rsidR="00FE1D0E">
        <w:rPr>
          <w:rFonts w:asciiTheme="majorHAnsi" w:hAnsiTheme="majorHAnsi" w:cstheme="majorHAnsi"/>
          <w:bCs/>
          <w:sz w:val="24"/>
          <w:szCs w:val="24"/>
        </w:rPr>
        <w:t>novembro</w:t>
      </w:r>
      <w:r w:rsidRPr="00AF0427">
        <w:rPr>
          <w:rFonts w:asciiTheme="majorHAnsi" w:hAnsiTheme="majorHAnsi" w:cstheme="majorHAnsi"/>
          <w:bCs/>
          <w:sz w:val="24"/>
          <w:szCs w:val="24"/>
        </w:rPr>
        <w:t xml:space="preserve"> de 2025.</w:t>
      </w:r>
    </w:p>
    <w:p w:rsidR="00F518B8" w:rsidRPr="00AF0427" w:rsidP="00F13148" w14:paraId="7D4CB6BB" w14:textId="77777777">
      <w:pPr>
        <w:spacing w:line="380" w:lineRule="atLeast"/>
        <w:jc w:val="center"/>
        <w:rPr>
          <w:rFonts w:asciiTheme="majorHAnsi" w:hAnsiTheme="majorHAnsi" w:cstheme="majorHAnsi"/>
          <w:bCs/>
          <w:sz w:val="24"/>
          <w:szCs w:val="24"/>
        </w:rPr>
      </w:pPr>
    </w:p>
    <w:p w:rsidR="00F518B8" w:rsidRPr="00AF0427" w:rsidP="00F13148" w14:paraId="030B1B39" w14:textId="77777777">
      <w:pPr>
        <w:spacing w:line="380" w:lineRule="atLeast"/>
        <w:jc w:val="center"/>
        <w:rPr>
          <w:rFonts w:asciiTheme="majorHAnsi" w:hAnsiTheme="majorHAnsi" w:cstheme="majorHAnsi"/>
          <w:bCs/>
          <w:sz w:val="24"/>
          <w:szCs w:val="24"/>
        </w:rPr>
      </w:pPr>
    </w:p>
    <w:p w:rsidR="00F13148" w:rsidRPr="00AF0427" w:rsidP="00F13148" w14:paraId="687175BA" w14:textId="77777777">
      <w:pPr>
        <w:spacing w:line="380" w:lineRule="atLeast"/>
        <w:jc w:val="center"/>
        <w:rPr>
          <w:rFonts w:asciiTheme="majorHAnsi" w:hAnsiTheme="majorHAnsi" w:cstheme="majorHAnsi"/>
          <w:bCs/>
          <w:sz w:val="24"/>
          <w:szCs w:val="24"/>
        </w:rPr>
      </w:pPr>
    </w:p>
    <w:p w:rsidR="00F13148" w:rsidRPr="00AF0427" w:rsidP="00F13148" w14:paraId="63BE5A2D" w14:textId="77777777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AF0427">
        <w:rPr>
          <w:rFonts w:asciiTheme="majorHAnsi" w:hAnsiTheme="majorHAnsi" w:cstheme="majorHAnsi"/>
          <w:b/>
          <w:sz w:val="24"/>
          <w:szCs w:val="24"/>
          <w:u w:val="single"/>
        </w:rPr>
        <w:t>COMISSÃO DE JUSTIÇA E REDAÇÃO</w:t>
      </w:r>
    </w:p>
    <w:p w:rsidR="00F13148" w:rsidRPr="00AF0427" w:rsidP="00F13148" w14:paraId="189668FC" w14:textId="77777777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F13148" w:rsidRPr="00AF0427" w:rsidP="00F13148" w14:paraId="5D464FF4" w14:textId="77777777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F13148" w:rsidRPr="00AF0427" w:rsidP="00603CE4" w14:paraId="6D763D9F" w14:textId="6AFAAB0B">
      <w:pPr>
        <w:spacing w:before="240" w:line="360" w:lineRule="auto"/>
        <w:jc w:val="center"/>
        <w:rPr>
          <w:rFonts w:asciiTheme="majorHAnsi" w:hAnsiTheme="majorHAnsi" w:cstheme="majorHAnsi"/>
          <w:i/>
          <w:sz w:val="24"/>
          <w:szCs w:val="24"/>
        </w:rPr>
      </w:pPr>
      <w:r w:rsidRPr="00AF0427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AF0427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AF0427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F13148" w:rsidRPr="00AF0427" w:rsidP="00F13148" w14:paraId="6C26F1DF" w14:textId="77777777">
      <w:pPr>
        <w:spacing w:line="380" w:lineRule="atLeast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AF0427">
        <w:rPr>
          <w:rFonts w:asciiTheme="majorHAnsi" w:hAnsiTheme="majorHAnsi" w:cstheme="majorHAnsi"/>
          <w:b/>
          <w:sz w:val="24"/>
          <w:szCs w:val="24"/>
          <w:u w:val="single"/>
        </w:rPr>
        <w:t>VEREADOR WAGNER RICARDO PEREIRA</w:t>
      </w:r>
    </w:p>
    <w:p w:rsidR="00F13148" w:rsidRPr="00AF0427" w:rsidP="00F13148" w14:paraId="2D19F49E" w14:textId="159AEB43">
      <w:pPr>
        <w:spacing w:line="380" w:lineRule="atLeast"/>
        <w:jc w:val="center"/>
        <w:rPr>
          <w:rFonts w:asciiTheme="majorHAnsi" w:hAnsiTheme="majorHAnsi" w:cstheme="majorHAnsi"/>
          <w:sz w:val="24"/>
          <w:szCs w:val="24"/>
        </w:rPr>
      </w:pPr>
      <w:r w:rsidRPr="00AF0427">
        <w:rPr>
          <w:rFonts w:asciiTheme="majorHAnsi" w:hAnsiTheme="majorHAnsi" w:cstheme="majorHAnsi"/>
          <w:sz w:val="24"/>
          <w:szCs w:val="24"/>
        </w:rPr>
        <w:t>Presidente</w:t>
      </w:r>
    </w:p>
    <w:p w:rsidR="00B65347" w:rsidRPr="00AF0427" w:rsidP="00B65347" w14:paraId="1FE8A58C" w14:textId="515C8E10">
      <w:pPr>
        <w:spacing w:before="240" w:line="360" w:lineRule="auto"/>
        <w:jc w:val="center"/>
        <w:rPr>
          <w:rFonts w:asciiTheme="majorHAnsi" w:hAnsiTheme="majorHAnsi" w:cstheme="majorHAnsi"/>
          <w:i/>
          <w:sz w:val="24"/>
          <w:szCs w:val="24"/>
        </w:rPr>
      </w:pPr>
      <w:r w:rsidRPr="00AF0427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AF0427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AF0427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B65347" w:rsidRPr="00AF0427" w:rsidP="00B65347" w14:paraId="3B23B211" w14:textId="5DCC0A9B">
      <w:pPr>
        <w:spacing w:line="380" w:lineRule="atLeast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AF0427">
        <w:rPr>
          <w:rFonts w:asciiTheme="majorHAnsi" w:hAnsiTheme="majorHAnsi" w:cstheme="majorHAnsi"/>
          <w:b/>
          <w:sz w:val="24"/>
          <w:szCs w:val="24"/>
          <w:u w:val="single"/>
        </w:rPr>
        <w:t xml:space="preserve">VEREADOR JOÃO VICTOR </w:t>
      </w:r>
      <w:r w:rsidRPr="00AF0427" w:rsidR="00FD088C">
        <w:rPr>
          <w:rFonts w:asciiTheme="majorHAnsi" w:hAnsiTheme="majorHAnsi" w:cstheme="majorHAnsi"/>
          <w:b/>
          <w:sz w:val="24"/>
          <w:szCs w:val="24"/>
          <w:u w:val="single"/>
        </w:rPr>
        <w:t xml:space="preserve">COUTINHO </w:t>
      </w:r>
      <w:r w:rsidRPr="00AF0427">
        <w:rPr>
          <w:rFonts w:asciiTheme="majorHAnsi" w:hAnsiTheme="majorHAnsi" w:cstheme="majorHAnsi"/>
          <w:b/>
          <w:sz w:val="24"/>
          <w:szCs w:val="24"/>
          <w:u w:val="single"/>
        </w:rPr>
        <w:t>GASPARINI</w:t>
      </w:r>
    </w:p>
    <w:p w:rsidR="00B65347" w:rsidRPr="00AF0427" w:rsidP="00B65347" w14:paraId="63731795" w14:textId="4789E39B">
      <w:pPr>
        <w:spacing w:line="380" w:lineRule="atLeast"/>
        <w:jc w:val="center"/>
        <w:rPr>
          <w:rFonts w:asciiTheme="majorHAnsi" w:hAnsiTheme="majorHAnsi" w:cstheme="majorHAnsi"/>
          <w:sz w:val="24"/>
          <w:szCs w:val="24"/>
        </w:rPr>
      </w:pPr>
      <w:r w:rsidRPr="00AF0427">
        <w:rPr>
          <w:rFonts w:asciiTheme="majorHAnsi" w:hAnsiTheme="majorHAnsi" w:cstheme="majorHAnsi"/>
          <w:sz w:val="24"/>
          <w:szCs w:val="24"/>
        </w:rPr>
        <w:t>Vice-Presidente</w:t>
      </w:r>
    </w:p>
    <w:p w:rsidR="00F13148" w:rsidRPr="00AF0427" w:rsidP="00603CE4" w14:paraId="45B8060F" w14:textId="3D3A2862">
      <w:pPr>
        <w:spacing w:before="240" w:line="360" w:lineRule="auto"/>
        <w:jc w:val="center"/>
        <w:rPr>
          <w:rFonts w:asciiTheme="majorHAnsi" w:hAnsiTheme="majorHAnsi" w:cstheme="majorHAnsi"/>
          <w:i/>
          <w:sz w:val="24"/>
          <w:szCs w:val="24"/>
        </w:rPr>
      </w:pPr>
      <w:r w:rsidRPr="00AF0427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AF0427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AF0427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F13148" w:rsidRPr="00AF0427" w:rsidP="00F13148" w14:paraId="2D93895A" w14:textId="43C5EF66">
      <w:pPr>
        <w:spacing w:line="380" w:lineRule="atLeast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AF0427">
        <w:rPr>
          <w:rFonts w:asciiTheme="majorHAnsi" w:hAnsiTheme="majorHAnsi" w:cstheme="majorHAnsi"/>
          <w:b/>
          <w:sz w:val="24"/>
          <w:szCs w:val="24"/>
          <w:u w:val="single"/>
        </w:rPr>
        <w:t>VEREADOR WILIANS MENDES DE OLIVEIRA</w:t>
      </w:r>
    </w:p>
    <w:p w:rsidR="00F13148" w:rsidP="00F13148" w14:paraId="10091CF6" w14:textId="7B7C1604">
      <w:pPr>
        <w:spacing w:line="380" w:lineRule="atLeast"/>
        <w:jc w:val="center"/>
        <w:rPr>
          <w:rFonts w:asciiTheme="majorHAnsi" w:hAnsiTheme="majorHAnsi" w:cstheme="majorHAnsi"/>
          <w:sz w:val="24"/>
          <w:szCs w:val="24"/>
        </w:rPr>
      </w:pPr>
      <w:r w:rsidRPr="00AF0427">
        <w:rPr>
          <w:rFonts w:asciiTheme="majorHAnsi" w:hAnsiTheme="majorHAnsi" w:cstheme="majorHAnsi"/>
          <w:sz w:val="24"/>
          <w:szCs w:val="24"/>
        </w:rPr>
        <w:t>Membro</w:t>
      </w:r>
      <w:r w:rsidRPr="00AF0427" w:rsidR="00E97358">
        <w:rPr>
          <w:rFonts w:asciiTheme="majorHAnsi" w:hAnsiTheme="majorHAnsi" w:cstheme="majorHAnsi"/>
          <w:sz w:val="24"/>
          <w:szCs w:val="24"/>
        </w:rPr>
        <w:t>/Relator</w:t>
      </w:r>
    </w:p>
    <w:p w:rsidR="009E7D37" w:rsidP="00F13148" w14:paraId="46C76940" w14:textId="77777777">
      <w:pPr>
        <w:spacing w:line="380" w:lineRule="atLeast"/>
        <w:jc w:val="center"/>
        <w:rPr>
          <w:rFonts w:asciiTheme="majorHAnsi" w:hAnsiTheme="majorHAnsi" w:cstheme="majorHAnsi"/>
          <w:sz w:val="24"/>
          <w:szCs w:val="24"/>
        </w:rPr>
      </w:pPr>
    </w:p>
    <w:p w:rsidR="009E7D37" w:rsidRPr="00AF0427" w:rsidP="00F13148" w14:paraId="05306EED" w14:textId="77777777">
      <w:pPr>
        <w:spacing w:line="380" w:lineRule="atLeast"/>
        <w:jc w:val="center"/>
        <w:rPr>
          <w:rFonts w:asciiTheme="majorHAnsi" w:hAnsiTheme="majorHAnsi" w:cstheme="majorHAnsi"/>
          <w:sz w:val="24"/>
          <w:szCs w:val="24"/>
        </w:rPr>
      </w:pPr>
    </w:p>
    <w:p w:rsidR="009E7D37" w:rsidRPr="00AF0427" w:rsidP="009E7D37" w14:paraId="69C6CF61" w14:textId="0CAB5357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sz w:val="24"/>
          <w:szCs w:val="24"/>
          <w:u w:val="single"/>
        </w:rPr>
        <w:t>COMISSÃO DE OBRAS, SERVIÇOS PÚBLICOS E ATIVIDADES PRIVADAS</w:t>
      </w:r>
    </w:p>
    <w:p w:rsidR="009E7D37" w:rsidRPr="00AF0427" w:rsidP="009E7D37" w14:paraId="0B0EB33A" w14:textId="77777777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9E7D37" w:rsidRPr="00AF0427" w:rsidP="009E7D37" w14:paraId="4DFE7CA1" w14:textId="77777777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9E7D37" w:rsidRPr="00AF0427" w:rsidP="009E7D37" w14:paraId="37000E0C" w14:textId="77777777">
      <w:pPr>
        <w:spacing w:before="240" w:line="360" w:lineRule="auto"/>
        <w:jc w:val="center"/>
        <w:rPr>
          <w:rFonts w:asciiTheme="majorHAnsi" w:hAnsiTheme="majorHAnsi" w:cstheme="majorHAnsi"/>
          <w:i/>
          <w:sz w:val="24"/>
          <w:szCs w:val="24"/>
        </w:rPr>
      </w:pPr>
      <w:r w:rsidRPr="00AF0427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AF0427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AF0427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9E7D37" w:rsidRPr="00AF0427" w:rsidP="009E7D37" w14:paraId="1827A8DF" w14:textId="5D22F9AD">
      <w:pPr>
        <w:spacing w:line="380" w:lineRule="atLeast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sz w:val="24"/>
          <w:szCs w:val="24"/>
          <w:u w:val="single"/>
        </w:rPr>
        <w:t>VEREADOR ADEMIR SOUZA FLORETTI JUNIOR</w:t>
      </w:r>
    </w:p>
    <w:p w:rsidR="009E7D37" w:rsidRPr="00AF0427" w:rsidP="009E7D37" w14:paraId="44862391" w14:textId="77777777">
      <w:pPr>
        <w:spacing w:line="380" w:lineRule="atLeast"/>
        <w:jc w:val="center"/>
        <w:rPr>
          <w:rFonts w:asciiTheme="majorHAnsi" w:hAnsiTheme="majorHAnsi" w:cstheme="majorHAnsi"/>
          <w:sz w:val="24"/>
          <w:szCs w:val="24"/>
        </w:rPr>
      </w:pPr>
      <w:r w:rsidRPr="00AF0427">
        <w:rPr>
          <w:rFonts w:asciiTheme="majorHAnsi" w:hAnsiTheme="majorHAnsi" w:cstheme="majorHAnsi"/>
          <w:sz w:val="24"/>
          <w:szCs w:val="24"/>
        </w:rPr>
        <w:t>Presidente</w:t>
      </w:r>
    </w:p>
    <w:p w:rsidR="009E7D37" w:rsidRPr="00AF0427" w:rsidP="009E7D37" w14:paraId="690F4020" w14:textId="77777777">
      <w:pPr>
        <w:spacing w:before="240" w:line="360" w:lineRule="auto"/>
        <w:jc w:val="center"/>
        <w:rPr>
          <w:rFonts w:asciiTheme="majorHAnsi" w:hAnsiTheme="majorHAnsi" w:cstheme="majorHAnsi"/>
          <w:i/>
          <w:sz w:val="24"/>
          <w:szCs w:val="24"/>
        </w:rPr>
      </w:pPr>
      <w:r w:rsidRPr="00AF0427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AF0427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AF0427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9E7D37" w:rsidRPr="00AF0427" w:rsidP="009E7D37" w14:paraId="091BEC49" w14:textId="47D80F15">
      <w:pPr>
        <w:spacing w:line="380" w:lineRule="atLeast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sz w:val="24"/>
          <w:szCs w:val="24"/>
          <w:u w:val="single"/>
        </w:rPr>
        <w:t>VEREADOR MARCOS ANTONIO FRANCO</w:t>
      </w:r>
    </w:p>
    <w:p w:rsidR="009E7D37" w:rsidRPr="00AF0427" w:rsidP="009E7D37" w14:paraId="0F446C23" w14:textId="77777777">
      <w:pPr>
        <w:spacing w:line="380" w:lineRule="atLeast"/>
        <w:jc w:val="center"/>
        <w:rPr>
          <w:rFonts w:asciiTheme="majorHAnsi" w:hAnsiTheme="majorHAnsi" w:cstheme="majorHAnsi"/>
          <w:sz w:val="24"/>
          <w:szCs w:val="24"/>
        </w:rPr>
      </w:pPr>
      <w:r w:rsidRPr="00AF0427">
        <w:rPr>
          <w:rFonts w:asciiTheme="majorHAnsi" w:hAnsiTheme="majorHAnsi" w:cstheme="majorHAnsi"/>
          <w:sz w:val="24"/>
          <w:szCs w:val="24"/>
        </w:rPr>
        <w:t>Vice-Presidente</w:t>
      </w:r>
    </w:p>
    <w:p w:rsidR="009E7D37" w:rsidRPr="00AF0427" w:rsidP="009E7D37" w14:paraId="4EF5365B" w14:textId="77777777">
      <w:pPr>
        <w:spacing w:before="240" w:line="360" w:lineRule="auto"/>
        <w:jc w:val="center"/>
        <w:rPr>
          <w:rFonts w:asciiTheme="majorHAnsi" w:hAnsiTheme="majorHAnsi" w:cstheme="majorHAnsi"/>
          <w:i/>
          <w:sz w:val="24"/>
          <w:szCs w:val="24"/>
        </w:rPr>
      </w:pPr>
      <w:r w:rsidRPr="00AF0427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AF0427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AF0427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9E7D37" w:rsidRPr="00AF0427" w:rsidP="009E7D37" w14:paraId="30333161" w14:textId="77777777">
      <w:pPr>
        <w:spacing w:line="380" w:lineRule="atLeast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AF0427">
        <w:rPr>
          <w:rFonts w:asciiTheme="majorHAnsi" w:hAnsiTheme="majorHAnsi" w:cstheme="majorHAnsi"/>
          <w:b/>
          <w:sz w:val="24"/>
          <w:szCs w:val="24"/>
          <w:u w:val="single"/>
        </w:rPr>
        <w:t>VEREADOR WILIANS MENDES DE OLIVEIRA</w:t>
      </w:r>
    </w:p>
    <w:p w:rsidR="009E7D37" w:rsidRPr="00AF0427" w:rsidP="009E7D37" w14:paraId="36FA146E" w14:textId="4B041F58">
      <w:pPr>
        <w:spacing w:line="380" w:lineRule="atLeast"/>
        <w:jc w:val="center"/>
        <w:rPr>
          <w:rFonts w:asciiTheme="majorHAnsi" w:hAnsiTheme="majorHAnsi" w:cstheme="majorHAnsi"/>
          <w:sz w:val="24"/>
          <w:szCs w:val="24"/>
        </w:rPr>
      </w:pPr>
      <w:r w:rsidRPr="00AF0427">
        <w:rPr>
          <w:rFonts w:asciiTheme="majorHAnsi" w:hAnsiTheme="majorHAnsi" w:cstheme="majorHAnsi"/>
          <w:sz w:val="24"/>
          <w:szCs w:val="24"/>
        </w:rPr>
        <w:t>Membro</w:t>
      </w:r>
      <w:bookmarkStart w:id="0" w:name="_GoBack"/>
      <w:bookmarkEnd w:id="0"/>
    </w:p>
    <w:p w:rsidR="009E7D37" w:rsidRPr="00AF0427" w:rsidP="009E7D37" w14:paraId="32EE90A9" w14:textId="77777777">
      <w:pPr>
        <w:pStyle w:val="NormalWeb"/>
        <w:spacing w:before="0" w:beforeAutospacing="0" w:line="360" w:lineRule="auto"/>
        <w:jc w:val="both"/>
        <w:rPr>
          <w:rFonts w:asciiTheme="majorHAnsi" w:hAnsiTheme="majorHAnsi" w:cstheme="majorHAnsi"/>
        </w:rPr>
      </w:pPr>
    </w:p>
    <w:p w:rsidR="009E7D37" w:rsidRPr="00AF0427" w:rsidP="009E7D37" w14:paraId="24A66B32" w14:textId="532F25F1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sz w:val="24"/>
          <w:szCs w:val="24"/>
          <w:u w:val="single"/>
        </w:rPr>
        <w:t>COM</w:t>
      </w:r>
      <w:r>
        <w:rPr>
          <w:rFonts w:asciiTheme="majorHAnsi" w:hAnsiTheme="majorHAnsi" w:cstheme="majorHAnsi"/>
          <w:b/>
          <w:sz w:val="24"/>
          <w:szCs w:val="24"/>
          <w:u w:val="single"/>
        </w:rPr>
        <w:t>ISSÃO DE FINANÇAS E ORÇAMENTO</w:t>
      </w:r>
    </w:p>
    <w:p w:rsidR="009E7D37" w:rsidRPr="00AF0427" w:rsidP="009E7D37" w14:paraId="1F6B11FE" w14:textId="77777777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9E7D37" w:rsidRPr="00AF0427" w:rsidP="009E7D37" w14:paraId="699DF2EB" w14:textId="77777777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9E7D37" w:rsidRPr="00AF0427" w:rsidP="009E7D37" w14:paraId="6B7D23AB" w14:textId="77777777">
      <w:pPr>
        <w:spacing w:before="240" w:line="360" w:lineRule="auto"/>
        <w:jc w:val="center"/>
        <w:rPr>
          <w:rFonts w:asciiTheme="majorHAnsi" w:hAnsiTheme="majorHAnsi" w:cstheme="majorHAnsi"/>
          <w:i/>
          <w:sz w:val="24"/>
          <w:szCs w:val="24"/>
        </w:rPr>
      </w:pPr>
      <w:r w:rsidRPr="00AF0427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AF0427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AF0427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9E7D37" w:rsidRPr="00AF0427" w:rsidP="009E7D37" w14:paraId="3ACE5274" w14:textId="5DEC3E30">
      <w:pPr>
        <w:spacing w:line="380" w:lineRule="atLeast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sz w:val="24"/>
          <w:szCs w:val="24"/>
          <w:u w:val="single"/>
        </w:rPr>
        <w:t>VEREADOR</w:t>
      </w:r>
      <w:r>
        <w:rPr>
          <w:rFonts w:asciiTheme="majorHAnsi" w:hAnsiTheme="majorHAnsi" w:cstheme="majorHAnsi"/>
          <w:b/>
          <w:sz w:val="24"/>
          <w:szCs w:val="24"/>
          <w:u w:val="single"/>
        </w:rPr>
        <w:t>A MARA CRISTINA CHOQUETTA</w:t>
      </w:r>
    </w:p>
    <w:p w:rsidR="009E7D37" w:rsidRPr="00AF0427" w:rsidP="009E7D37" w14:paraId="183E0562" w14:textId="77777777">
      <w:pPr>
        <w:spacing w:line="380" w:lineRule="atLeast"/>
        <w:jc w:val="center"/>
        <w:rPr>
          <w:rFonts w:asciiTheme="majorHAnsi" w:hAnsiTheme="majorHAnsi" w:cstheme="majorHAnsi"/>
          <w:sz w:val="24"/>
          <w:szCs w:val="24"/>
        </w:rPr>
      </w:pPr>
      <w:r w:rsidRPr="00AF0427">
        <w:rPr>
          <w:rFonts w:asciiTheme="majorHAnsi" w:hAnsiTheme="majorHAnsi" w:cstheme="majorHAnsi"/>
          <w:sz w:val="24"/>
          <w:szCs w:val="24"/>
        </w:rPr>
        <w:t>Presidente</w:t>
      </w:r>
    </w:p>
    <w:p w:rsidR="009E7D37" w:rsidRPr="00AF0427" w:rsidP="009E7D37" w14:paraId="1E6140E4" w14:textId="77777777">
      <w:pPr>
        <w:spacing w:before="240" w:line="360" w:lineRule="auto"/>
        <w:jc w:val="center"/>
        <w:rPr>
          <w:rFonts w:asciiTheme="majorHAnsi" w:hAnsiTheme="majorHAnsi" w:cstheme="majorHAnsi"/>
          <w:i/>
          <w:sz w:val="24"/>
          <w:szCs w:val="24"/>
        </w:rPr>
      </w:pPr>
      <w:r w:rsidRPr="00AF0427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AF0427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AF0427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9E7D37" w:rsidRPr="00AF0427" w:rsidP="009E7D37" w14:paraId="14033ED3" w14:textId="2B6E9950">
      <w:pPr>
        <w:spacing w:line="380" w:lineRule="atLeast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sz w:val="24"/>
          <w:szCs w:val="24"/>
          <w:u w:val="single"/>
        </w:rPr>
        <w:t xml:space="preserve">VEREADOR </w:t>
      </w:r>
      <w:r>
        <w:rPr>
          <w:rFonts w:asciiTheme="majorHAnsi" w:hAnsiTheme="majorHAnsi" w:cstheme="majorHAnsi"/>
          <w:b/>
          <w:sz w:val="24"/>
          <w:szCs w:val="24"/>
          <w:u w:val="single"/>
        </w:rPr>
        <w:t>MARCIO DENER CORAN</w:t>
      </w:r>
    </w:p>
    <w:p w:rsidR="009E7D37" w:rsidRPr="00AF0427" w:rsidP="009E7D37" w14:paraId="5B8DEFE1" w14:textId="77777777">
      <w:pPr>
        <w:spacing w:line="380" w:lineRule="atLeast"/>
        <w:jc w:val="center"/>
        <w:rPr>
          <w:rFonts w:asciiTheme="majorHAnsi" w:hAnsiTheme="majorHAnsi" w:cstheme="majorHAnsi"/>
          <w:sz w:val="24"/>
          <w:szCs w:val="24"/>
        </w:rPr>
      </w:pPr>
      <w:r w:rsidRPr="00AF0427">
        <w:rPr>
          <w:rFonts w:asciiTheme="majorHAnsi" w:hAnsiTheme="majorHAnsi" w:cstheme="majorHAnsi"/>
          <w:sz w:val="24"/>
          <w:szCs w:val="24"/>
        </w:rPr>
        <w:t>Vice-Presidente</w:t>
      </w:r>
    </w:p>
    <w:p w:rsidR="009E7D37" w:rsidRPr="00AF0427" w:rsidP="009E7D37" w14:paraId="6F3872A9" w14:textId="77777777">
      <w:pPr>
        <w:spacing w:before="240" w:line="360" w:lineRule="auto"/>
        <w:jc w:val="center"/>
        <w:rPr>
          <w:rFonts w:asciiTheme="majorHAnsi" w:hAnsiTheme="majorHAnsi" w:cstheme="majorHAnsi"/>
          <w:i/>
          <w:sz w:val="24"/>
          <w:szCs w:val="24"/>
        </w:rPr>
      </w:pPr>
      <w:r w:rsidRPr="00AF0427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AF0427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AF0427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9E7D37" w:rsidRPr="00AF0427" w:rsidP="009E7D37" w14:paraId="6393BB1F" w14:textId="10BD911C">
      <w:pPr>
        <w:spacing w:line="380" w:lineRule="atLeast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AF0427">
        <w:rPr>
          <w:rFonts w:asciiTheme="majorHAnsi" w:hAnsiTheme="majorHAnsi" w:cstheme="majorHAnsi"/>
          <w:b/>
          <w:sz w:val="24"/>
          <w:szCs w:val="24"/>
          <w:u w:val="single"/>
        </w:rPr>
        <w:t xml:space="preserve">VEREADOR </w:t>
      </w:r>
      <w:r>
        <w:rPr>
          <w:rFonts w:asciiTheme="majorHAnsi" w:hAnsiTheme="majorHAnsi" w:cstheme="majorHAnsi"/>
          <w:b/>
          <w:sz w:val="24"/>
          <w:szCs w:val="24"/>
          <w:u w:val="single"/>
        </w:rPr>
        <w:t>MARCOS PAULO CEGATTI</w:t>
      </w:r>
    </w:p>
    <w:p w:rsidR="009E7D37" w:rsidRPr="00AF0427" w:rsidP="009E7D37" w14:paraId="357E8CAC" w14:textId="5E169D59">
      <w:pPr>
        <w:spacing w:line="380" w:lineRule="atLeast"/>
        <w:jc w:val="center"/>
        <w:rPr>
          <w:rFonts w:asciiTheme="majorHAnsi" w:hAnsiTheme="majorHAnsi" w:cstheme="majorHAnsi"/>
          <w:sz w:val="24"/>
          <w:szCs w:val="24"/>
        </w:rPr>
      </w:pPr>
      <w:r w:rsidRPr="00AF0427">
        <w:rPr>
          <w:rFonts w:asciiTheme="majorHAnsi" w:hAnsiTheme="majorHAnsi" w:cstheme="majorHAnsi"/>
          <w:sz w:val="24"/>
          <w:szCs w:val="24"/>
        </w:rPr>
        <w:t>Membro</w:t>
      </w:r>
    </w:p>
    <w:p w:rsidR="009E7D37" w:rsidRPr="00AF0427" w:rsidP="009E7D37" w14:paraId="52E7785A" w14:textId="77777777">
      <w:pPr>
        <w:pStyle w:val="NormalWeb"/>
        <w:spacing w:before="0" w:beforeAutospacing="0" w:line="360" w:lineRule="auto"/>
        <w:jc w:val="both"/>
        <w:rPr>
          <w:rFonts w:asciiTheme="majorHAnsi" w:hAnsiTheme="majorHAnsi" w:cstheme="majorHAnsi"/>
        </w:rPr>
      </w:pPr>
    </w:p>
    <w:p w:rsidR="00F13148" w:rsidRPr="00AF0427" w:rsidP="00996888" w14:paraId="684EA24D" w14:textId="77777777">
      <w:pPr>
        <w:pStyle w:val="NormalWeb"/>
        <w:spacing w:before="0" w:beforeAutospacing="0" w:line="360" w:lineRule="auto"/>
        <w:jc w:val="both"/>
        <w:rPr>
          <w:rFonts w:asciiTheme="majorHAnsi" w:hAnsiTheme="majorHAnsi" w:cstheme="majorHAnsi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  <w:r w:rsidRPr="00FD2743">
      <w:rPr>
        <w:rFonts w:ascii="Bookman Old Style" w:eastAsia="Arial" w:hAnsi="Bookman Old Style" w:cs="Arial"/>
        <w:b/>
        <w:color w:val="000000"/>
        <w:sz w:val="32"/>
        <w:szCs w:val="32"/>
      </w:rPr>
      <w:t>CÂMARA MUNICIPAL DE MOGI MIRIM</w:t>
    </w:r>
  </w:p>
  <w:p w:rsidR="00FD2743" w:rsidRPr="00FD2743" w:rsidP="008A537A" w14:paraId="7A598125" w14:textId="1683E355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>
      <w:rPr>
        <w:rFonts w:ascii="Bookman Old Style" w:eastAsia="Arial" w:hAnsi="Bookman Old Style" w:cs="Arial"/>
        <w:b/>
        <w:color w:val="000000"/>
        <w:sz w:val="24"/>
        <w:szCs w:val="24"/>
      </w:rPr>
      <w:t>Comissão de Justiça e Redação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3C295B"/>
    <w:multiLevelType w:val="hybridMultilevel"/>
    <w:tmpl w:val="7A186E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8765AC"/>
    <w:multiLevelType w:val="multilevel"/>
    <w:tmpl w:val="8B9C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394EE9"/>
    <w:multiLevelType w:val="multilevel"/>
    <w:tmpl w:val="2FF4F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013594"/>
    <w:multiLevelType w:val="multilevel"/>
    <w:tmpl w:val="581A5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C03F39"/>
    <w:multiLevelType w:val="multilevel"/>
    <w:tmpl w:val="711E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1"/>
  </w:num>
  <w:num w:numId="3">
    <w:abstractNumId w:val="2"/>
  </w:num>
  <w:num w:numId="4">
    <w:abstractNumId w:val="10"/>
  </w:num>
  <w:num w:numId="5">
    <w:abstractNumId w:val="18"/>
  </w:num>
  <w:num w:numId="6">
    <w:abstractNumId w:val="19"/>
  </w:num>
  <w:num w:numId="7">
    <w:abstractNumId w:val="6"/>
  </w:num>
  <w:num w:numId="8">
    <w:abstractNumId w:val="12"/>
  </w:num>
  <w:num w:numId="9">
    <w:abstractNumId w:val="9"/>
  </w:num>
  <w:num w:numId="10">
    <w:abstractNumId w:val="8"/>
  </w:num>
  <w:num w:numId="11">
    <w:abstractNumId w:val="7"/>
  </w:num>
  <w:num w:numId="12">
    <w:abstractNumId w:val="15"/>
  </w:num>
  <w:num w:numId="13">
    <w:abstractNumId w:val="1"/>
  </w:num>
  <w:num w:numId="14">
    <w:abstractNumId w:val="5"/>
  </w:num>
  <w:num w:numId="15">
    <w:abstractNumId w:val="16"/>
  </w:num>
  <w:num w:numId="16">
    <w:abstractNumId w:val="0"/>
  </w:num>
  <w:num w:numId="17">
    <w:abstractNumId w:val="17"/>
  </w:num>
  <w:num w:numId="18">
    <w:abstractNumId w:val="4"/>
  </w:num>
  <w:num w:numId="19">
    <w:abstractNumId w:val="13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15C44"/>
    <w:rsid w:val="00021AB3"/>
    <w:rsid w:val="00021B2B"/>
    <w:rsid w:val="00026797"/>
    <w:rsid w:val="00037531"/>
    <w:rsid w:val="00041A2D"/>
    <w:rsid w:val="00045A7A"/>
    <w:rsid w:val="00064FC8"/>
    <w:rsid w:val="00070FE7"/>
    <w:rsid w:val="00071EF2"/>
    <w:rsid w:val="0008150E"/>
    <w:rsid w:val="00093424"/>
    <w:rsid w:val="000950D7"/>
    <w:rsid w:val="00096F36"/>
    <w:rsid w:val="000A1377"/>
    <w:rsid w:val="000A1BE0"/>
    <w:rsid w:val="000C3715"/>
    <w:rsid w:val="000E49AD"/>
    <w:rsid w:val="000F1F6F"/>
    <w:rsid w:val="000F4933"/>
    <w:rsid w:val="00126AE5"/>
    <w:rsid w:val="001510B2"/>
    <w:rsid w:val="0015590E"/>
    <w:rsid w:val="00173831"/>
    <w:rsid w:val="00174B34"/>
    <w:rsid w:val="00177254"/>
    <w:rsid w:val="0017789C"/>
    <w:rsid w:val="00181506"/>
    <w:rsid w:val="00187FC6"/>
    <w:rsid w:val="00192536"/>
    <w:rsid w:val="001A23DA"/>
    <w:rsid w:val="001A3CE4"/>
    <w:rsid w:val="001B679E"/>
    <w:rsid w:val="001B7303"/>
    <w:rsid w:val="001C2A28"/>
    <w:rsid w:val="001E2CEC"/>
    <w:rsid w:val="00200C12"/>
    <w:rsid w:val="0020165D"/>
    <w:rsid w:val="00213987"/>
    <w:rsid w:val="00227E2C"/>
    <w:rsid w:val="00234376"/>
    <w:rsid w:val="00235385"/>
    <w:rsid w:val="002434FF"/>
    <w:rsid w:val="0025677C"/>
    <w:rsid w:val="0027672A"/>
    <w:rsid w:val="0028130C"/>
    <w:rsid w:val="00290407"/>
    <w:rsid w:val="00291486"/>
    <w:rsid w:val="00297379"/>
    <w:rsid w:val="002A0A87"/>
    <w:rsid w:val="002A2BD3"/>
    <w:rsid w:val="002B71AC"/>
    <w:rsid w:val="002F3157"/>
    <w:rsid w:val="002F34B4"/>
    <w:rsid w:val="00301C69"/>
    <w:rsid w:val="00312103"/>
    <w:rsid w:val="003121C8"/>
    <w:rsid w:val="00314B47"/>
    <w:rsid w:val="00322469"/>
    <w:rsid w:val="00342EA1"/>
    <w:rsid w:val="00346786"/>
    <w:rsid w:val="00357196"/>
    <w:rsid w:val="00362E04"/>
    <w:rsid w:val="00370D25"/>
    <w:rsid w:val="00371A69"/>
    <w:rsid w:val="00374892"/>
    <w:rsid w:val="0038129E"/>
    <w:rsid w:val="00381C00"/>
    <w:rsid w:val="003826AE"/>
    <w:rsid w:val="00382F0D"/>
    <w:rsid w:val="00393C7C"/>
    <w:rsid w:val="003A5737"/>
    <w:rsid w:val="003A796B"/>
    <w:rsid w:val="003B1A59"/>
    <w:rsid w:val="003C6BCB"/>
    <w:rsid w:val="003D6D21"/>
    <w:rsid w:val="003F0B47"/>
    <w:rsid w:val="003F580C"/>
    <w:rsid w:val="003F59C5"/>
    <w:rsid w:val="003F5AED"/>
    <w:rsid w:val="00405098"/>
    <w:rsid w:val="004104BF"/>
    <w:rsid w:val="00421623"/>
    <w:rsid w:val="004278D5"/>
    <w:rsid w:val="00446FA1"/>
    <w:rsid w:val="00450272"/>
    <w:rsid w:val="00456770"/>
    <w:rsid w:val="00464667"/>
    <w:rsid w:val="00491C70"/>
    <w:rsid w:val="00497A43"/>
    <w:rsid w:val="004B1D43"/>
    <w:rsid w:val="004B36B4"/>
    <w:rsid w:val="004B6FDF"/>
    <w:rsid w:val="004D46DA"/>
    <w:rsid w:val="004E458F"/>
    <w:rsid w:val="004E6092"/>
    <w:rsid w:val="004F09E5"/>
    <w:rsid w:val="004F1B28"/>
    <w:rsid w:val="00507B11"/>
    <w:rsid w:val="005242B1"/>
    <w:rsid w:val="00543E03"/>
    <w:rsid w:val="005559D9"/>
    <w:rsid w:val="0055728D"/>
    <w:rsid w:val="00571662"/>
    <w:rsid w:val="0057515A"/>
    <w:rsid w:val="00590AA1"/>
    <w:rsid w:val="0059215B"/>
    <w:rsid w:val="00595E79"/>
    <w:rsid w:val="005A235E"/>
    <w:rsid w:val="005B27A9"/>
    <w:rsid w:val="005B524F"/>
    <w:rsid w:val="005B5870"/>
    <w:rsid w:val="005B766F"/>
    <w:rsid w:val="005B7DA0"/>
    <w:rsid w:val="005D21C6"/>
    <w:rsid w:val="005D5E69"/>
    <w:rsid w:val="005E491E"/>
    <w:rsid w:val="005F2654"/>
    <w:rsid w:val="005F4C80"/>
    <w:rsid w:val="005F4E55"/>
    <w:rsid w:val="005F54DA"/>
    <w:rsid w:val="00603CE4"/>
    <w:rsid w:val="00613747"/>
    <w:rsid w:val="00620972"/>
    <w:rsid w:val="00624040"/>
    <w:rsid w:val="006553FA"/>
    <w:rsid w:val="00655A35"/>
    <w:rsid w:val="006575C7"/>
    <w:rsid w:val="00657B9A"/>
    <w:rsid w:val="006834FE"/>
    <w:rsid w:val="00697874"/>
    <w:rsid w:val="006A54A9"/>
    <w:rsid w:val="006A61B1"/>
    <w:rsid w:val="006A762A"/>
    <w:rsid w:val="006C0A02"/>
    <w:rsid w:val="006C2150"/>
    <w:rsid w:val="006D1946"/>
    <w:rsid w:val="006D3570"/>
    <w:rsid w:val="006E3A0E"/>
    <w:rsid w:val="006F48DD"/>
    <w:rsid w:val="00700836"/>
    <w:rsid w:val="007038AD"/>
    <w:rsid w:val="00725F41"/>
    <w:rsid w:val="00746224"/>
    <w:rsid w:val="00753ABE"/>
    <w:rsid w:val="0075508B"/>
    <w:rsid w:val="007556D8"/>
    <w:rsid w:val="00760915"/>
    <w:rsid w:val="007728E4"/>
    <w:rsid w:val="00774062"/>
    <w:rsid w:val="0078178E"/>
    <w:rsid w:val="00784CD4"/>
    <w:rsid w:val="00785E1B"/>
    <w:rsid w:val="00787BDF"/>
    <w:rsid w:val="007A08D1"/>
    <w:rsid w:val="007A2B84"/>
    <w:rsid w:val="007B2789"/>
    <w:rsid w:val="007B437F"/>
    <w:rsid w:val="007B6058"/>
    <w:rsid w:val="007C20C2"/>
    <w:rsid w:val="007C6029"/>
    <w:rsid w:val="007D4B66"/>
    <w:rsid w:val="007D715E"/>
    <w:rsid w:val="007E2CFA"/>
    <w:rsid w:val="007E3D67"/>
    <w:rsid w:val="007F0E8B"/>
    <w:rsid w:val="00804434"/>
    <w:rsid w:val="0080664C"/>
    <w:rsid w:val="0081335D"/>
    <w:rsid w:val="00824488"/>
    <w:rsid w:val="00826AD6"/>
    <w:rsid w:val="00842408"/>
    <w:rsid w:val="00855DD2"/>
    <w:rsid w:val="00863D24"/>
    <w:rsid w:val="00864928"/>
    <w:rsid w:val="0086681C"/>
    <w:rsid w:val="00881E60"/>
    <w:rsid w:val="008857D9"/>
    <w:rsid w:val="008905C2"/>
    <w:rsid w:val="008A3797"/>
    <w:rsid w:val="008A537A"/>
    <w:rsid w:val="008A5D64"/>
    <w:rsid w:val="008A6DEB"/>
    <w:rsid w:val="008C08C5"/>
    <w:rsid w:val="008C125D"/>
    <w:rsid w:val="008C4AA2"/>
    <w:rsid w:val="008E1495"/>
    <w:rsid w:val="00902EE1"/>
    <w:rsid w:val="009048A2"/>
    <w:rsid w:val="00904ADF"/>
    <w:rsid w:val="00914ADC"/>
    <w:rsid w:val="00917024"/>
    <w:rsid w:val="009203ED"/>
    <w:rsid w:val="00920A3F"/>
    <w:rsid w:val="00925E1A"/>
    <w:rsid w:val="00947C10"/>
    <w:rsid w:val="00963121"/>
    <w:rsid w:val="009709EF"/>
    <w:rsid w:val="0098102A"/>
    <w:rsid w:val="00996280"/>
    <w:rsid w:val="00996888"/>
    <w:rsid w:val="009C1C3D"/>
    <w:rsid w:val="009D56B8"/>
    <w:rsid w:val="009D6B7C"/>
    <w:rsid w:val="009E7D37"/>
    <w:rsid w:val="00A00E3E"/>
    <w:rsid w:val="00A030E7"/>
    <w:rsid w:val="00A06A2D"/>
    <w:rsid w:val="00A12DD9"/>
    <w:rsid w:val="00A164DC"/>
    <w:rsid w:val="00A27446"/>
    <w:rsid w:val="00A32282"/>
    <w:rsid w:val="00A4350D"/>
    <w:rsid w:val="00A479DE"/>
    <w:rsid w:val="00A53B79"/>
    <w:rsid w:val="00A56895"/>
    <w:rsid w:val="00A672C0"/>
    <w:rsid w:val="00A67DE2"/>
    <w:rsid w:val="00A71DDA"/>
    <w:rsid w:val="00A8132C"/>
    <w:rsid w:val="00A87E6C"/>
    <w:rsid w:val="00A92E38"/>
    <w:rsid w:val="00AA3B6E"/>
    <w:rsid w:val="00AB03DE"/>
    <w:rsid w:val="00AB5A42"/>
    <w:rsid w:val="00AB7527"/>
    <w:rsid w:val="00AC11D7"/>
    <w:rsid w:val="00AC2AB2"/>
    <w:rsid w:val="00AC4214"/>
    <w:rsid w:val="00AD2770"/>
    <w:rsid w:val="00AD416D"/>
    <w:rsid w:val="00AD7982"/>
    <w:rsid w:val="00AE3F8F"/>
    <w:rsid w:val="00AE5858"/>
    <w:rsid w:val="00AF0427"/>
    <w:rsid w:val="00AF0C05"/>
    <w:rsid w:val="00AF3296"/>
    <w:rsid w:val="00AF4AC7"/>
    <w:rsid w:val="00B02DD1"/>
    <w:rsid w:val="00B22DA8"/>
    <w:rsid w:val="00B56BBF"/>
    <w:rsid w:val="00B57090"/>
    <w:rsid w:val="00B64D61"/>
    <w:rsid w:val="00B65347"/>
    <w:rsid w:val="00B909E6"/>
    <w:rsid w:val="00BA48C7"/>
    <w:rsid w:val="00BB410F"/>
    <w:rsid w:val="00BD04BA"/>
    <w:rsid w:val="00BD2CA7"/>
    <w:rsid w:val="00BD597E"/>
    <w:rsid w:val="00BE41D6"/>
    <w:rsid w:val="00BE6938"/>
    <w:rsid w:val="00BF2A6F"/>
    <w:rsid w:val="00C10154"/>
    <w:rsid w:val="00C20193"/>
    <w:rsid w:val="00C50C70"/>
    <w:rsid w:val="00C74E3F"/>
    <w:rsid w:val="00C75973"/>
    <w:rsid w:val="00C8480D"/>
    <w:rsid w:val="00C92DC8"/>
    <w:rsid w:val="00CA4280"/>
    <w:rsid w:val="00CA4349"/>
    <w:rsid w:val="00CB5D49"/>
    <w:rsid w:val="00CC3E72"/>
    <w:rsid w:val="00CC71E4"/>
    <w:rsid w:val="00CF288D"/>
    <w:rsid w:val="00D05011"/>
    <w:rsid w:val="00D17E31"/>
    <w:rsid w:val="00D233F3"/>
    <w:rsid w:val="00D33D19"/>
    <w:rsid w:val="00D467B6"/>
    <w:rsid w:val="00D52DAE"/>
    <w:rsid w:val="00D5435D"/>
    <w:rsid w:val="00D543E6"/>
    <w:rsid w:val="00D635A7"/>
    <w:rsid w:val="00D66197"/>
    <w:rsid w:val="00D735E2"/>
    <w:rsid w:val="00D80A2E"/>
    <w:rsid w:val="00D81BDB"/>
    <w:rsid w:val="00D84C9F"/>
    <w:rsid w:val="00D85714"/>
    <w:rsid w:val="00D9258F"/>
    <w:rsid w:val="00D95652"/>
    <w:rsid w:val="00DA7AB4"/>
    <w:rsid w:val="00DB5081"/>
    <w:rsid w:val="00DC32F0"/>
    <w:rsid w:val="00DC5068"/>
    <w:rsid w:val="00DC54F9"/>
    <w:rsid w:val="00DC6027"/>
    <w:rsid w:val="00DD4E12"/>
    <w:rsid w:val="00DE2A9A"/>
    <w:rsid w:val="00DF605F"/>
    <w:rsid w:val="00E115D2"/>
    <w:rsid w:val="00E11ECC"/>
    <w:rsid w:val="00E17B64"/>
    <w:rsid w:val="00E263E7"/>
    <w:rsid w:val="00E27D0C"/>
    <w:rsid w:val="00E3543A"/>
    <w:rsid w:val="00E457DF"/>
    <w:rsid w:val="00E57571"/>
    <w:rsid w:val="00E57668"/>
    <w:rsid w:val="00E7438B"/>
    <w:rsid w:val="00E81D6E"/>
    <w:rsid w:val="00E86533"/>
    <w:rsid w:val="00E9017B"/>
    <w:rsid w:val="00E97358"/>
    <w:rsid w:val="00EA0447"/>
    <w:rsid w:val="00EA375D"/>
    <w:rsid w:val="00EA4E83"/>
    <w:rsid w:val="00EB1570"/>
    <w:rsid w:val="00EB3C9A"/>
    <w:rsid w:val="00EC5677"/>
    <w:rsid w:val="00ED7D93"/>
    <w:rsid w:val="00EE457C"/>
    <w:rsid w:val="00EF4DE4"/>
    <w:rsid w:val="00EF630E"/>
    <w:rsid w:val="00F10F57"/>
    <w:rsid w:val="00F13148"/>
    <w:rsid w:val="00F21F60"/>
    <w:rsid w:val="00F23709"/>
    <w:rsid w:val="00F304D4"/>
    <w:rsid w:val="00F33776"/>
    <w:rsid w:val="00F42F8D"/>
    <w:rsid w:val="00F518B8"/>
    <w:rsid w:val="00F52B2B"/>
    <w:rsid w:val="00F54B63"/>
    <w:rsid w:val="00F55E24"/>
    <w:rsid w:val="00F6470D"/>
    <w:rsid w:val="00F7241A"/>
    <w:rsid w:val="00F729BD"/>
    <w:rsid w:val="00F733EC"/>
    <w:rsid w:val="00F74441"/>
    <w:rsid w:val="00F80A2B"/>
    <w:rsid w:val="00F83282"/>
    <w:rsid w:val="00F877CF"/>
    <w:rsid w:val="00F91A1F"/>
    <w:rsid w:val="00F921DB"/>
    <w:rsid w:val="00FA65BC"/>
    <w:rsid w:val="00FD088C"/>
    <w:rsid w:val="00FD2743"/>
    <w:rsid w:val="00FD367D"/>
    <w:rsid w:val="00FD767A"/>
    <w:rsid w:val="00FE1D0E"/>
    <w:rsid w:val="00FE396C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normas-indices-artigo">
    <w:name w:val="normas-indices-artigo"/>
    <w:basedOn w:val="DefaultParagraphFont"/>
    <w:rsid w:val="002A0A87"/>
  </w:style>
  <w:style w:type="character" w:customStyle="1" w:styleId="math-inline">
    <w:name w:val="math-inline"/>
    <w:basedOn w:val="DefaultParagraphFont"/>
    <w:rsid w:val="009C1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1606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Wilians</cp:lastModifiedBy>
  <cp:revision>3</cp:revision>
  <cp:lastPrinted>2025-02-18T14:53:00Z</cp:lastPrinted>
  <dcterms:created xsi:type="dcterms:W3CDTF">2025-11-06T16:04:00Z</dcterms:created>
  <dcterms:modified xsi:type="dcterms:W3CDTF">2025-11-06T19:21:00Z</dcterms:modified>
</cp:coreProperties>
</file>