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Parecer </w:t>
      </w:r>
      <w:r>
        <w:rPr>
          <w:rFonts w:asciiTheme="majorHAnsi" w:hAnsiTheme="majorHAnsi" w:cstheme="majorHAnsi"/>
          <w:b/>
          <w:color w:val="000000"/>
          <w:sz w:val="24"/>
          <w:szCs w:val="24"/>
        </w:rPr>
        <w:t>n</w:t>
      </w:r>
      <w:r w:rsidRPr="00D677F3">
        <w:rPr>
          <w:rFonts w:asciiTheme="majorHAnsi" w:hAnsiTheme="majorHAnsi" w:cstheme="majorHAnsi"/>
          <w:b/>
          <w:color w:val="000000"/>
          <w:sz w:val="24"/>
          <w:szCs w:val="24"/>
        </w:rPr>
        <w:t xml:space="preserve">º </w:t>
      </w:r>
      <w:r w:rsidR="00DC2FDF">
        <w:rPr>
          <w:rFonts w:asciiTheme="majorHAnsi" w:hAnsiTheme="majorHAnsi" w:cstheme="majorHAnsi"/>
          <w:b/>
          <w:sz w:val="24"/>
          <w:szCs w:val="24"/>
        </w:rPr>
        <w:t>2</w:t>
      </w:r>
      <w:r w:rsidR="0069403A">
        <w:rPr>
          <w:rFonts w:asciiTheme="majorHAnsi" w:hAnsiTheme="majorHAnsi" w:cstheme="majorHAnsi"/>
          <w:b/>
          <w:color w:val="000000"/>
          <w:sz w:val="24"/>
          <w:szCs w:val="24"/>
        </w:rPr>
        <w:t xml:space="preserve"> ao Projeto de Lei</w:t>
      </w:r>
      <w:r w:rsidR="00895599">
        <w:rPr>
          <w:rFonts w:asciiTheme="majorHAnsi" w:hAnsiTheme="majorHAnsi" w:cstheme="majorHAnsi"/>
          <w:b/>
          <w:color w:val="000000"/>
          <w:sz w:val="24"/>
          <w:szCs w:val="24"/>
        </w:rPr>
        <w:t xml:space="preserve"> </w:t>
      </w:r>
      <w:r w:rsidR="00766595">
        <w:rPr>
          <w:rFonts w:asciiTheme="majorHAnsi" w:hAnsiTheme="majorHAnsi" w:cstheme="majorHAnsi"/>
          <w:b/>
          <w:color w:val="000000"/>
          <w:sz w:val="24"/>
          <w:szCs w:val="24"/>
        </w:rPr>
        <w:t>n</w:t>
      </w:r>
      <w:r w:rsidR="00895599">
        <w:rPr>
          <w:rFonts w:asciiTheme="majorHAnsi" w:hAnsiTheme="majorHAnsi" w:cstheme="majorHAnsi"/>
          <w:b/>
          <w:color w:val="000000"/>
          <w:sz w:val="24"/>
          <w:szCs w:val="24"/>
        </w:rPr>
        <w:t>º 154</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Processo </w:t>
      </w:r>
      <w:r w:rsidR="00D677F3">
        <w:rPr>
          <w:rFonts w:asciiTheme="majorHAnsi" w:hAnsiTheme="majorHAnsi" w:cstheme="majorHAnsi"/>
          <w:b/>
          <w:color w:val="000000"/>
          <w:sz w:val="24"/>
          <w:szCs w:val="24"/>
        </w:rPr>
        <w:t>n</w:t>
      </w:r>
      <w:r w:rsidR="00895599">
        <w:rPr>
          <w:rFonts w:asciiTheme="majorHAnsi" w:hAnsiTheme="majorHAnsi" w:cstheme="majorHAnsi"/>
          <w:b/>
          <w:color w:val="000000"/>
          <w:sz w:val="24"/>
          <w:szCs w:val="24"/>
        </w:rPr>
        <w:t>º 215</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6231BE"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r w:rsidRPr="00D677F3">
        <w:rPr>
          <w:rFonts w:asciiTheme="majorHAnsi" w:hAnsiTheme="majorHAnsi" w:cstheme="majorHAnsi"/>
          <w:sz w:val="24"/>
          <w:szCs w:val="24"/>
        </w:rPr>
        <w:t xml:space="preserve">            Conforme determina o artigo 37 da Resolução 276 de 09 de novembro de 2010 – Regimento Interno da Câmara Municipal, a Comissão de Finanças e Orçamento, emite o presente Relatório </w:t>
      </w:r>
      <w:r w:rsidR="00BE68FF">
        <w:rPr>
          <w:rFonts w:asciiTheme="majorHAnsi" w:hAnsiTheme="majorHAnsi" w:cstheme="majorHAnsi"/>
          <w:sz w:val="24"/>
          <w:szCs w:val="24"/>
        </w:rPr>
        <w:t xml:space="preserve">acerca do Projeto </w:t>
      </w:r>
      <w:r w:rsidR="0069403A">
        <w:rPr>
          <w:rFonts w:asciiTheme="majorHAnsi" w:hAnsiTheme="majorHAnsi" w:cstheme="majorHAnsi"/>
          <w:sz w:val="24"/>
          <w:szCs w:val="24"/>
        </w:rPr>
        <w:t xml:space="preserve">de Lei </w:t>
      </w:r>
      <w:r w:rsidR="00895599">
        <w:rPr>
          <w:rFonts w:asciiTheme="majorHAnsi" w:hAnsiTheme="majorHAnsi" w:cstheme="majorHAnsi"/>
          <w:sz w:val="24"/>
          <w:szCs w:val="24"/>
        </w:rPr>
        <w:t>nº 154</w:t>
      </w:r>
      <w:r w:rsidRPr="00A55914" w:rsidR="00A55914">
        <w:rPr>
          <w:rFonts w:asciiTheme="majorHAnsi" w:hAnsiTheme="majorHAnsi" w:cstheme="majorHAnsi"/>
          <w:sz w:val="24"/>
          <w:szCs w:val="24"/>
        </w:rPr>
        <w:t xml:space="preserve">/2025, de autoria </w:t>
      </w:r>
      <w:r w:rsidR="00895599">
        <w:rPr>
          <w:rFonts w:asciiTheme="majorHAnsi" w:hAnsiTheme="majorHAnsi" w:cstheme="majorHAnsi"/>
          <w:sz w:val="24"/>
          <w:szCs w:val="24"/>
        </w:rPr>
        <w:t>do Prefeito Municipal</w:t>
      </w:r>
      <w:r w:rsidRPr="00A55914" w:rsidR="00A55914">
        <w:rPr>
          <w:rFonts w:asciiTheme="majorHAnsi" w:hAnsiTheme="majorHAnsi" w:cstheme="majorHAnsi"/>
          <w:sz w:val="24"/>
          <w:szCs w:val="24"/>
        </w:rPr>
        <w:t>, sob relatoria do Vereador Vereadora Mara Cristina Choquetta.</w:t>
      </w:r>
    </w:p>
    <w:p w:rsidR="00D677F3" w:rsidRPr="00D677F3"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p>
    <w:p w:rsidR="00C31C89"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r w:rsidRPr="00D677F3">
        <w:rPr>
          <w:rFonts w:asciiTheme="majorHAnsi" w:hAnsiTheme="majorHAnsi" w:cstheme="majorHAnsi"/>
          <w:b/>
          <w:sz w:val="24"/>
          <w:szCs w:val="24"/>
        </w:rPr>
        <w:t>I. Exposição da Matéria</w:t>
      </w: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D677F3" w:rsidRPr="0069403A" w:rsidP="000D498E">
      <w:pPr>
        <w:spacing w:before="100" w:beforeAutospacing="1"/>
        <w:contextualSpacing/>
        <w:jc w:val="both"/>
        <w:rPr>
          <w:rFonts w:asciiTheme="majorHAnsi" w:hAnsiTheme="majorHAnsi" w:cstheme="majorHAnsi"/>
          <w:b/>
          <w:i/>
          <w:sz w:val="24"/>
          <w:szCs w:val="24"/>
        </w:rPr>
      </w:pPr>
      <w:r>
        <w:rPr>
          <w:rFonts w:asciiTheme="majorHAnsi" w:hAnsiTheme="majorHAnsi" w:cstheme="majorHAnsi"/>
          <w:sz w:val="24"/>
          <w:szCs w:val="24"/>
        </w:rPr>
        <w:t xml:space="preserve">            </w:t>
      </w:r>
      <w:r w:rsidRPr="00895599" w:rsidR="00895599">
        <w:rPr>
          <w:rFonts w:asciiTheme="majorHAnsi" w:hAnsiTheme="majorHAnsi" w:cstheme="majorHAnsi"/>
          <w:sz w:val="24"/>
          <w:szCs w:val="24"/>
        </w:rPr>
        <w:t>O Exmo. Sr. Prefeito Municipal, Dr. Paulo de Oliveira e Silva, protocolou nesta Casa de Leis o Projeto de Lei nº 154/2025, que "</w:t>
      </w:r>
      <w:r w:rsidRPr="00895599" w:rsidR="00895599">
        <w:rPr>
          <w:rFonts w:asciiTheme="majorHAnsi" w:hAnsiTheme="majorHAnsi" w:cstheme="majorHAnsi"/>
          <w:b/>
          <w:i/>
          <w:sz w:val="24"/>
          <w:szCs w:val="24"/>
        </w:rPr>
        <w:t>DISPÕE SOBRE A CONCESSÃO DE DESCONTO REGRESSIVO NA APLICAÇÃO DA ALÍQUOTA DO IMPOSTO TERRITORIAL URBANO, INCIDENTE SOBRE IMÓVEIS SEM EDIFICAÇÃO, E DÁ OUTRAS PROVIDÊNCIAS."</w:t>
      </w:r>
    </w:p>
    <w:p w:rsidR="00895599" w:rsidP="00A55914">
      <w:pPr>
        <w:pStyle w:val="NormalWeb"/>
        <w:ind w:firstLine="720"/>
        <w:jc w:val="both"/>
        <w:rPr>
          <w:rFonts w:asciiTheme="majorHAnsi" w:hAnsiTheme="majorHAnsi" w:cstheme="majorHAnsi"/>
        </w:rPr>
      </w:pPr>
      <w:r w:rsidRPr="00895599">
        <w:rPr>
          <w:rFonts w:asciiTheme="majorHAnsi" w:hAnsiTheme="majorHAnsi" w:cstheme="majorHAnsi"/>
        </w:rPr>
        <w:t>A propositura busca autorizar o Poder Executivo a conceder um desconto regressivo na alíquota do Imposto Territorial Urbano (IPTU) incidente sobre terrenos sem edificação, conforme as seguintes condições:</w:t>
      </w:r>
    </w:p>
    <w:p w:rsidR="00895599" w:rsidP="00895599">
      <w:pPr>
        <w:pStyle w:val="NormalWeb"/>
        <w:numPr>
          <w:ilvl w:val="0"/>
          <w:numId w:val="24"/>
        </w:numPr>
        <w:jc w:val="both"/>
        <w:rPr>
          <w:rFonts w:asciiTheme="majorHAnsi" w:hAnsiTheme="majorHAnsi" w:cstheme="majorHAnsi"/>
        </w:rPr>
      </w:pPr>
      <w:r>
        <w:rPr>
          <w:rFonts w:asciiTheme="majorHAnsi" w:hAnsiTheme="majorHAnsi" w:cstheme="majorHAnsi"/>
        </w:rPr>
        <w:t>R</w:t>
      </w:r>
      <w:r w:rsidRPr="00895599">
        <w:rPr>
          <w:rFonts w:asciiTheme="majorHAnsi" w:hAnsiTheme="majorHAnsi" w:cstheme="majorHAnsi"/>
        </w:rPr>
        <w:t>edução de 40% na alíquota para o exercício de 2026.</w:t>
      </w:r>
    </w:p>
    <w:p w:rsidR="00895599" w:rsidP="00895599">
      <w:pPr>
        <w:pStyle w:val="NormalWeb"/>
        <w:numPr>
          <w:ilvl w:val="0"/>
          <w:numId w:val="24"/>
        </w:numPr>
        <w:jc w:val="both"/>
        <w:rPr>
          <w:rFonts w:asciiTheme="majorHAnsi" w:hAnsiTheme="majorHAnsi" w:cstheme="majorHAnsi"/>
        </w:rPr>
      </w:pPr>
      <w:r w:rsidRPr="00895599">
        <w:rPr>
          <w:rFonts w:asciiTheme="majorHAnsi" w:hAnsiTheme="majorHAnsi" w:cstheme="majorHAnsi"/>
        </w:rPr>
        <w:t>Redução de 25% na alíquota para o exercício de 2027.</w:t>
      </w:r>
    </w:p>
    <w:p w:rsidR="00895599" w:rsidRPr="00895599" w:rsidP="00895599">
      <w:pPr>
        <w:pStyle w:val="NormalWeb"/>
        <w:ind w:firstLine="720"/>
        <w:jc w:val="both"/>
        <w:rPr>
          <w:rFonts w:asciiTheme="majorHAnsi" w:hAnsiTheme="majorHAnsi" w:cstheme="majorHAnsi"/>
        </w:rPr>
      </w:pPr>
      <w:r w:rsidRPr="00895599">
        <w:rPr>
          <w:rFonts w:asciiTheme="majorHAnsi" w:hAnsiTheme="majorHAnsi" w:cstheme="majorHAnsi"/>
        </w:rPr>
        <w:t>O benefício se aplica apenas para a liquidação do tributo dentro do mesmo exercício de seu lançamento, e a alíquota integral de 2,0% (prevista no art. 7º da Lei Complementar Municipal nº 392/2025) será aplicada</w:t>
      </w:r>
      <w:r>
        <w:rPr>
          <w:rFonts w:asciiTheme="majorHAnsi" w:hAnsiTheme="majorHAnsi" w:cstheme="majorHAnsi"/>
        </w:rPr>
        <w:t xml:space="preserve"> a partir do exercício de 2028.</w:t>
      </w:r>
    </w:p>
    <w:p w:rsidR="00895599" w:rsidRPr="00895599" w:rsidP="00895599">
      <w:pPr>
        <w:pStyle w:val="NormalWeb"/>
        <w:ind w:firstLine="720"/>
        <w:jc w:val="both"/>
        <w:rPr>
          <w:rFonts w:asciiTheme="majorHAnsi" w:hAnsiTheme="majorHAnsi" w:cstheme="majorHAnsi"/>
        </w:rPr>
      </w:pPr>
      <w:r w:rsidRPr="00895599">
        <w:rPr>
          <w:rFonts w:asciiTheme="majorHAnsi" w:hAnsiTheme="majorHAnsi" w:cstheme="majorHAnsi"/>
        </w:rPr>
        <w:t>A Mensagem nº 063/025, que acompanha o PL, justifica a medida como um "amortecimento à elevação da alíquota aplicada sobre os imóveis sem edificação", visando implementar gradualmente a nova política tarifária que tem por objetivo "combater a ociosidade e o não cumprimento da função social da propriedade"</w:t>
      </w:r>
    </w:p>
    <w:p w:rsidR="003D250F" w:rsidRPr="00C56DF7" w:rsidP="00C56DF7">
      <w:pPr>
        <w:spacing w:before="100" w:beforeAutospacing="1"/>
        <w:contextualSpacing/>
        <w:jc w:val="both"/>
        <w:rPr>
          <w:rFonts w:asciiTheme="majorHAnsi" w:hAnsiTheme="majorHAnsi" w:cstheme="majorHAnsi"/>
          <w:b/>
          <w:i/>
          <w:sz w:val="24"/>
          <w:szCs w:val="24"/>
        </w:rPr>
      </w:pPr>
    </w:p>
    <w:p w:rsidR="00A2712E" w:rsidRPr="00D677F3" w:rsidP="00D677F3">
      <w:pPr>
        <w:spacing w:before="100" w:beforeAutospacing="1"/>
        <w:contextualSpacing/>
        <w:jc w:val="both"/>
        <w:rPr>
          <w:rFonts w:asciiTheme="majorHAnsi" w:hAnsiTheme="majorHAnsi" w:cstheme="majorHAnsi"/>
          <w:b/>
          <w:i/>
          <w:sz w:val="24"/>
          <w:szCs w:val="24"/>
        </w:rPr>
      </w:pPr>
      <w:r w:rsidRPr="00D677F3">
        <w:rPr>
          <w:rFonts w:asciiTheme="majorHAnsi" w:hAnsiTheme="majorHAnsi" w:cstheme="majorHAnsi"/>
          <w:b/>
          <w:sz w:val="24"/>
          <w:szCs w:val="24"/>
        </w:rPr>
        <w:t>II. Do mérito e conclusões da relatora</w:t>
      </w:r>
    </w:p>
    <w:p w:rsidR="00A2712E" w:rsidP="00BF47AD">
      <w:pPr>
        <w:pStyle w:val="NormalWeb"/>
        <w:spacing w:after="0" w:afterAutospacing="0"/>
        <w:contextualSpacing/>
        <w:jc w:val="both"/>
        <w:rPr>
          <w:rStyle w:val="Strong"/>
          <w:rFonts w:asciiTheme="majorHAnsi" w:hAnsiTheme="majorHAnsi" w:cstheme="majorHAnsi"/>
          <w:b w:val="0"/>
          <w:color w:val="FF0000"/>
        </w:rPr>
      </w:pPr>
      <w:r w:rsidRPr="00D677F3">
        <w:rPr>
          <w:rFonts w:asciiTheme="majorHAnsi" w:hAnsiTheme="majorHAnsi" w:cstheme="majorHAnsi"/>
          <w:color w:val="FF0000"/>
        </w:rPr>
        <w:tab/>
      </w:r>
      <w:r w:rsidRPr="00BF47AD">
        <w:rPr>
          <w:rFonts w:asciiTheme="majorHAnsi" w:hAnsiTheme="majorHAnsi" w:cstheme="majorHAnsi"/>
        </w:rPr>
        <w:t xml:space="preserve">Inicialmente, </w:t>
      </w:r>
      <w:r w:rsidR="00D47DCE">
        <w:rPr>
          <w:rFonts w:asciiTheme="majorHAnsi" w:hAnsiTheme="majorHAnsi" w:cstheme="majorHAnsi"/>
        </w:rPr>
        <w:t>destacamos que a pre</w:t>
      </w:r>
      <w:r w:rsidRPr="00BF47AD" w:rsidR="00BF47AD">
        <w:rPr>
          <w:rFonts w:asciiTheme="majorHAnsi" w:hAnsiTheme="majorHAnsi" w:cstheme="majorHAnsi"/>
        </w:rPr>
        <w:t>sente propositura já tra</w:t>
      </w:r>
      <w:r w:rsidR="00637C5F">
        <w:rPr>
          <w:rFonts w:asciiTheme="majorHAnsi" w:hAnsiTheme="majorHAnsi" w:cstheme="majorHAnsi"/>
        </w:rPr>
        <w:t>mitou pel</w:t>
      </w:r>
      <w:r w:rsidR="00C56DF7">
        <w:rPr>
          <w:rFonts w:asciiTheme="majorHAnsi" w:hAnsiTheme="majorHAnsi" w:cstheme="majorHAnsi"/>
        </w:rPr>
        <w:t xml:space="preserve">a comissão de Justiça e Redação </w:t>
      </w:r>
      <w:r w:rsidRPr="00BF47AD" w:rsidR="00BF47AD">
        <w:rPr>
          <w:rFonts w:asciiTheme="majorHAnsi" w:hAnsiTheme="majorHAnsi" w:cstheme="majorHAnsi"/>
        </w:rPr>
        <w:t xml:space="preserve">recebendo </w:t>
      </w:r>
      <w:r w:rsidR="00895599">
        <w:rPr>
          <w:rFonts w:asciiTheme="majorHAnsi" w:hAnsiTheme="majorHAnsi" w:cstheme="majorHAnsi"/>
        </w:rPr>
        <w:t>Parecer</w:t>
      </w:r>
      <w:r w:rsidR="00983B49">
        <w:rPr>
          <w:rFonts w:asciiTheme="majorHAnsi" w:hAnsiTheme="majorHAnsi" w:cstheme="majorHAnsi"/>
        </w:rPr>
        <w:t xml:space="preserve"> F</w:t>
      </w:r>
      <w:r w:rsidR="00A55914">
        <w:rPr>
          <w:rFonts w:asciiTheme="majorHAnsi" w:hAnsiTheme="majorHAnsi" w:cstheme="majorHAnsi"/>
        </w:rPr>
        <w:t>avorável do ponto de vista legal/constitucional</w:t>
      </w:r>
      <w:r w:rsidRPr="00BF47AD" w:rsidR="00BF47AD">
        <w:rPr>
          <w:rFonts w:asciiTheme="majorHAnsi" w:hAnsiTheme="majorHAnsi" w:cstheme="majorHAnsi"/>
        </w:rPr>
        <w:t>.</w:t>
      </w:r>
    </w:p>
    <w:p w:rsidR="00D677F3" w:rsidRPr="00D677F3" w:rsidP="00D677F3">
      <w:pPr>
        <w:pStyle w:val="NormalWeb"/>
        <w:spacing w:after="0" w:afterAutospacing="0"/>
        <w:contextualSpacing/>
        <w:jc w:val="both"/>
        <w:rPr>
          <w:rStyle w:val="Strong"/>
          <w:rFonts w:asciiTheme="majorHAnsi" w:hAnsiTheme="majorHAnsi" w:cstheme="majorHAnsi"/>
          <w:b w:val="0"/>
          <w:color w:val="FF0000"/>
        </w:rPr>
      </w:pPr>
    </w:p>
    <w:p w:rsidR="00AF4193" w:rsidP="00895599">
      <w:pPr>
        <w:pStyle w:val="NormalWeb"/>
        <w:spacing w:after="0" w:afterAutospacing="0"/>
        <w:contextualSpacing/>
        <w:jc w:val="both"/>
        <w:rPr>
          <w:rFonts w:asciiTheme="majorHAnsi" w:hAnsiTheme="majorHAnsi" w:cstheme="majorHAnsi"/>
        </w:rPr>
      </w:pPr>
      <w:r>
        <w:rPr>
          <w:rFonts w:asciiTheme="majorHAnsi" w:hAnsiTheme="majorHAnsi" w:cstheme="majorHAnsi"/>
        </w:rPr>
        <w:tab/>
        <w:t>No tocante ao as</w:t>
      </w:r>
      <w:r w:rsidR="00895599">
        <w:rPr>
          <w:rFonts w:asciiTheme="majorHAnsi" w:hAnsiTheme="majorHAnsi" w:cstheme="majorHAnsi"/>
        </w:rPr>
        <w:t>pecto orçamentário/financeiro e</w:t>
      </w:r>
      <w:r w:rsidRPr="00895599" w:rsidR="00895599">
        <w:rPr>
          <w:rFonts w:asciiTheme="majorHAnsi" w:hAnsiTheme="majorHAnsi" w:cstheme="majorHAnsi"/>
        </w:rPr>
        <w:t>mbora a concessão de desconto configure uma renúncia de receita, a natureza da propositura e a manifestação do setor financeiro indicam um cenário de transição e indução de comportamento, que mitiga o impacto negativo a longo prazo.</w:t>
      </w:r>
    </w:p>
    <w:p w:rsidR="00895599" w:rsidP="00895599">
      <w:pPr>
        <w:pStyle w:val="NormalWeb"/>
        <w:spacing w:after="0" w:afterAutospacing="0"/>
        <w:contextualSpacing/>
        <w:jc w:val="both"/>
        <w:rPr>
          <w:rFonts w:asciiTheme="majorHAnsi" w:hAnsiTheme="majorHAnsi" w:cstheme="majorHAnsi"/>
        </w:rPr>
      </w:pPr>
    </w:p>
    <w:p w:rsidR="00895599" w:rsidRPr="00895599" w:rsidP="00895599">
      <w:pPr>
        <w:pStyle w:val="NormalWeb"/>
        <w:contextualSpacing/>
        <w:jc w:val="both"/>
        <w:rPr>
          <w:rFonts w:asciiTheme="majorHAnsi" w:hAnsiTheme="majorHAnsi" w:cstheme="majorHAnsi"/>
        </w:rPr>
      </w:pPr>
      <w:r>
        <w:rPr>
          <w:rFonts w:asciiTheme="majorHAnsi" w:hAnsiTheme="majorHAnsi" w:cstheme="majorHAnsi"/>
        </w:rPr>
        <w:tab/>
      </w:r>
      <w:r w:rsidRPr="00895599">
        <w:rPr>
          <w:rFonts w:asciiTheme="majorHAnsi" w:hAnsiTheme="majorHAnsi" w:cstheme="majorHAnsi"/>
        </w:rPr>
        <w:t>A Procuradoria Geral do Município, em seu parecer, já havia apontado que a proposta "não implica isenção tributária, mas redução temporária de alíquota", enquadrada no conceito de "incentivo à adimplência e</w:t>
      </w:r>
      <w:r>
        <w:rPr>
          <w:rFonts w:asciiTheme="majorHAnsi" w:hAnsiTheme="majorHAnsi" w:cstheme="majorHAnsi"/>
        </w:rPr>
        <w:t xml:space="preserve"> transição de política fiscal". </w:t>
      </w:r>
      <w:r w:rsidRPr="00895599">
        <w:rPr>
          <w:rFonts w:asciiTheme="majorHAnsi" w:hAnsiTheme="majorHAnsi" w:cstheme="majorHAnsi"/>
        </w:rPr>
        <w:t xml:space="preserve">Adicionalmente, a </w:t>
      </w:r>
      <w:r w:rsidRPr="00895599">
        <w:rPr>
          <w:rFonts w:asciiTheme="majorHAnsi" w:hAnsiTheme="majorHAnsi" w:cstheme="majorHAnsi"/>
        </w:rPr>
        <w:t xml:space="preserve">Procuradoria ressaltou que o condicionamento do desconto ao pagamento dentro do exercício "garante observância ao princípio da anterioridade </w:t>
      </w:r>
      <w:r w:rsidRPr="00895599">
        <w:rPr>
          <w:rFonts w:asciiTheme="majorHAnsi" w:hAnsiTheme="majorHAnsi" w:cstheme="majorHAnsi"/>
        </w:rPr>
        <w:t>nonagesimal</w:t>
      </w:r>
      <w:r w:rsidRPr="00895599">
        <w:rPr>
          <w:rFonts w:asciiTheme="majorHAnsi" w:hAnsiTheme="majorHAnsi" w:cstheme="majorHAnsi"/>
        </w:rPr>
        <w:t xml:space="preserve"> e anual", uma vez que o benefício não cria novo tributo nem majora encargos, apenas reduz </w:t>
      </w:r>
      <w:r>
        <w:rPr>
          <w:rFonts w:asciiTheme="majorHAnsi" w:hAnsiTheme="majorHAnsi" w:cstheme="majorHAnsi"/>
        </w:rPr>
        <w:t>a alíquota de forma temporária</w:t>
      </w:r>
      <w:r w:rsidRPr="00895599">
        <w:rPr>
          <w:rFonts w:asciiTheme="majorHAnsi" w:hAnsiTheme="majorHAnsi" w:cstheme="majorHAnsi"/>
        </w:rPr>
        <w:t>.</w:t>
      </w:r>
    </w:p>
    <w:p w:rsidR="00895599" w:rsidRPr="00895599" w:rsidP="00895599">
      <w:pPr>
        <w:pStyle w:val="NormalWeb"/>
        <w:contextualSpacing/>
        <w:jc w:val="both"/>
        <w:rPr>
          <w:rFonts w:asciiTheme="majorHAnsi" w:hAnsiTheme="majorHAnsi" w:cstheme="majorHAnsi"/>
        </w:rPr>
      </w:pPr>
    </w:p>
    <w:p w:rsidR="00895599" w:rsidP="00895599">
      <w:pPr>
        <w:pStyle w:val="NormalWeb"/>
        <w:ind w:firstLine="720"/>
        <w:contextualSpacing/>
        <w:jc w:val="both"/>
        <w:rPr>
          <w:rFonts w:asciiTheme="majorHAnsi" w:hAnsiTheme="majorHAnsi" w:cstheme="majorHAnsi"/>
          <w:i/>
        </w:rPr>
      </w:pPr>
      <w:r w:rsidRPr="00895599">
        <w:rPr>
          <w:rFonts w:asciiTheme="majorHAnsi" w:hAnsiTheme="majorHAnsi" w:cstheme="majorHAnsi"/>
        </w:rPr>
        <w:t xml:space="preserve">A Lei de Responsabilidade Fiscal (LC nº 101/2000), em seu art. 14, exige a estimativa do impacto orçamentário-financeiro e a demonstração de compensação da renúncia de receita. </w:t>
      </w:r>
      <w:r>
        <w:rPr>
          <w:rFonts w:asciiTheme="majorHAnsi" w:hAnsiTheme="majorHAnsi" w:cstheme="majorHAnsi"/>
        </w:rPr>
        <w:t>Desta forma, se encontra acostado nos autos a Certidão de Não Impacto Orçamentário, de autoria do Secretário de Finanças, que se manifesta no seguinte sentido: “</w:t>
      </w:r>
      <w:r>
        <w:rPr>
          <w:rFonts w:asciiTheme="majorHAnsi" w:hAnsiTheme="majorHAnsi" w:cstheme="majorHAnsi"/>
          <w:i/>
        </w:rPr>
        <w:t xml:space="preserve">A eventual renúncia de receita decorrentes da concessão do desconto será integralmente compensada pela revisão da PGV, aprovada pela Lei Complementar nº 392/2025 e pela atualização da base cadastral de imóveis [...]Desta forma, conclui-se que a proposta não compromete o equilíbrio das contas públicas e poderá ser implementada dentro dos limites orçamentários e fiscais.” </w:t>
      </w:r>
    </w:p>
    <w:p w:rsidR="00895599" w:rsidP="00895599">
      <w:pPr>
        <w:pStyle w:val="NormalWeb"/>
        <w:ind w:firstLine="720"/>
        <w:contextualSpacing/>
        <w:jc w:val="both"/>
        <w:rPr>
          <w:rFonts w:asciiTheme="majorHAnsi" w:hAnsiTheme="majorHAnsi" w:cstheme="majorHAnsi"/>
          <w:i/>
        </w:rPr>
      </w:pPr>
    </w:p>
    <w:p w:rsidR="00895599" w:rsidP="00895599">
      <w:pPr>
        <w:pStyle w:val="NormalWeb"/>
        <w:ind w:firstLine="720"/>
        <w:contextualSpacing/>
        <w:jc w:val="both"/>
        <w:rPr>
          <w:rStyle w:val="Strong"/>
          <w:rFonts w:asciiTheme="majorHAnsi" w:hAnsiTheme="majorHAnsi" w:cstheme="majorHAnsi"/>
          <w:b w:val="0"/>
        </w:rPr>
      </w:pPr>
      <w:r>
        <w:rPr>
          <w:rFonts w:asciiTheme="majorHAnsi" w:hAnsiTheme="majorHAnsi" w:cstheme="majorHAnsi"/>
        </w:rPr>
        <w:t xml:space="preserve">Notório que a medida se trata de uma maneira de amortizar de maneira proporcional os eventuais impactos gerados pela nova PGV aprovada neste semestre. Importante relembrar que as propostas aprovadas quando da discussão da revisão da PGV </w:t>
      </w:r>
      <w:r>
        <w:rPr>
          <w:rStyle w:val="Strong"/>
          <w:rFonts w:asciiTheme="majorHAnsi" w:hAnsiTheme="majorHAnsi" w:cstheme="majorHAnsi"/>
          <w:b w:val="0"/>
        </w:rPr>
        <w:t xml:space="preserve">visam contribuir para que a propriedade cumpra sua função social incentivando/forçando o parcelamento, edificação ou utilização compulsória do imóvel, em especial nas áreas centrais do município, buscando “ocupar os vazios urbanos” da cidade, onde já se encontra instalado equipamentos e infraestrutura urbana. </w:t>
      </w:r>
    </w:p>
    <w:p w:rsidR="00895599" w:rsidP="00895599">
      <w:pPr>
        <w:pStyle w:val="NormalWeb"/>
        <w:ind w:firstLine="720"/>
        <w:contextualSpacing/>
        <w:jc w:val="both"/>
        <w:rPr>
          <w:rStyle w:val="Strong"/>
          <w:rFonts w:asciiTheme="majorHAnsi" w:hAnsiTheme="majorHAnsi" w:cstheme="majorHAnsi"/>
          <w:b w:val="0"/>
        </w:rPr>
      </w:pPr>
    </w:p>
    <w:p w:rsidR="00895599" w:rsidP="00895599">
      <w:pPr>
        <w:pStyle w:val="NormalWeb"/>
        <w:ind w:firstLine="720"/>
        <w:contextualSpacing/>
        <w:jc w:val="both"/>
        <w:rPr>
          <w:rFonts w:asciiTheme="majorHAnsi" w:hAnsiTheme="majorHAnsi" w:cstheme="majorHAnsi"/>
        </w:rPr>
      </w:pPr>
      <w:r>
        <w:rPr>
          <w:rStyle w:val="Strong"/>
          <w:rFonts w:asciiTheme="majorHAnsi" w:hAnsiTheme="majorHAnsi" w:cstheme="majorHAnsi"/>
          <w:b w:val="0"/>
        </w:rPr>
        <w:t xml:space="preserve">No caso em tela, apesar da nova política tributária implantada, pretende-se colocar um “prazo” maior para que o proprietário possa se adequar e tomar as devidas medidas antes da majoração integral do imposto. </w:t>
      </w:r>
    </w:p>
    <w:p w:rsidR="00AF4193" w:rsidP="00977D0F">
      <w:pPr>
        <w:pStyle w:val="NormalWeb"/>
        <w:spacing w:after="0" w:afterAutospacing="0"/>
        <w:ind w:firstLine="720"/>
        <w:contextualSpacing/>
        <w:jc w:val="both"/>
        <w:rPr>
          <w:rFonts w:asciiTheme="majorHAnsi" w:hAnsiTheme="majorHAnsi" w:cstheme="majorHAnsi"/>
        </w:rPr>
      </w:pPr>
    </w:p>
    <w:p w:rsidR="009D4F58" w:rsidP="00977D0F">
      <w:pPr>
        <w:pStyle w:val="NormalWeb"/>
        <w:spacing w:after="0" w:afterAutospacing="0"/>
        <w:ind w:firstLine="720"/>
        <w:contextualSpacing/>
        <w:jc w:val="both"/>
        <w:rPr>
          <w:rFonts w:asciiTheme="majorHAnsi" w:hAnsiTheme="majorHAnsi" w:cstheme="majorHAnsi"/>
        </w:rPr>
      </w:pPr>
      <w:r w:rsidRPr="00D677F3">
        <w:rPr>
          <w:rFonts w:asciiTheme="majorHAnsi" w:hAnsiTheme="majorHAnsi" w:cstheme="majorHAnsi"/>
        </w:rPr>
        <w:t>Diante de todo exposto, não se identifica óbice para a sua regular tramitação e aprovação por esta Casa Legislativa.</w:t>
      </w:r>
    </w:p>
    <w:p w:rsidR="009D4F58" w:rsidRP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 xml:space="preserve">III. Substitutivos, </w:t>
      </w:r>
      <w:r w:rsidR="00524D00">
        <w:rPr>
          <w:rFonts w:asciiTheme="majorHAnsi" w:hAnsiTheme="majorHAnsi" w:cstheme="majorHAnsi"/>
          <w:b/>
        </w:rPr>
        <w:t xml:space="preserve">Emendas </w:t>
      </w:r>
      <w:r w:rsidRPr="00D677F3">
        <w:rPr>
          <w:rFonts w:asciiTheme="majorHAnsi" w:hAnsiTheme="majorHAnsi" w:cstheme="majorHAnsi"/>
          <w:b/>
        </w:rPr>
        <w:t>ou subemendas ao Projeto</w:t>
      </w:r>
    </w:p>
    <w:p w:rsidR="00D677F3" w:rsidRPr="00D677F3" w:rsidP="00D677F3">
      <w:pPr>
        <w:pStyle w:val="NormalWeb"/>
        <w:spacing w:after="0" w:afterAutospacing="0"/>
        <w:contextualSpacing/>
        <w:jc w:val="both"/>
        <w:rPr>
          <w:rFonts w:asciiTheme="majorHAnsi" w:hAnsiTheme="majorHAnsi" w:cstheme="majorHAnsi"/>
          <w:b/>
        </w:rPr>
      </w:pPr>
    </w:p>
    <w:p w:rsidR="00D677F3" w:rsidP="00D677F3">
      <w:pPr>
        <w:pStyle w:val="NormalWeb"/>
        <w:spacing w:after="0" w:afterAutospacing="0"/>
        <w:contextualSpacing/>
        <w:jc w:val="both"/>
        <w:rPr>
          <w:rFonts w:asciiTheme="majorHAnsi" w:hAnsiTheme="majorHAnsi" w:cstheme="majorHAnsi"/>
        </w:rPr>
      </w:pPr>
      <w:r>
        <w:rPr>
          <w:rFonts w:asciiTheme="majorHAnsi" w:hAnsiTheme="majorHAnsi" w:cstheme="majorHAnsi"/>
        </w:rPr>
        <w:tab/>
        <w:t>Esta relatoria não possui emendas a propor.</w:t>
      </w:r>
    </w:p>
    <w:p w:rsidR="00D677F3" w:rsidRPr="00D677F3" w:rsidP="00D677F3">
      <w:pPr>
        <w:pStyle w:val="NormalWeb"/>
        <w:spacing w:after="0" w:afterAutospacing="0"/>
        <w:contextualSpacing/>
        <w:jc w:val="both"/>
        <w:rPr>
          <w:rFonts w:asciiTheme="majorHAnsi" w:hAnsiTheme="majorHAnsi" w:cstheme="majorHAnsi"/>
        </w:rPr>
      </w:pPr>
    </w:p>
    <w:p w:rsidR="006B31CF"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IV. Decisão da Relatora</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20584A" w:rsidP="00D677F3">
      <w:pPr>
        <w:pStyle w:val="NormalWeb"/>
        <w:spacing w:after="0" w:afterAutospacing="0"/>
        <w:contextualSpacing/>
        <w:jc w:val="both"/>
        <w:rPr>
          <w:rFonts w:asciiTheme="majorHAnsi" w:hAnsiTheme="majorHAnsi" w:cstheme="majorHAnsi"/>
        </w:rPr>
      </w:pPr>
      <w:r w:rsidRPr="00D677F3">
        <w:rPr>
          <w:rStyle w:val="Strong"/>
          <w:rFonts w:asciiTheme="majorHAnsi" w:hAnsiTheme="majorHAnsi" w:cstheme="majorHAnsi"/>
          <w:b w:val="0"/>
        </w:rPr>
        <w:t xml:space="preserve">              </w:t>
      </w:r>
      <w:r w:rsidRPr="00D677F3" w:rsidR="006B31CF">
        <w:rPr>
          <w:rFonts w:asciiTheme="majorHAnsi" w:hAnsiTheme="majorHAnsi" w:cstheme="majorHAnsi"/>
        </w:rPr>
        <w:t>Diante de todo exposto, esta Relatoria considera que a presente propositura não apresenta vícios, recebendo parecer FAVORÁVEL.</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20584A" w:rsidP="00D677F3">
      <w:pPr>
        <w:pStyle w:val="NormalWeb"/>
        <w:spacing w:after="0" w:afterAutospacing="0"/>
        <w:contextualSpacing/>
        <w:jc w:val="center"/>
        <w:rPr>
          <w:rFonts w:asciiTheme="majorHAnsi" w:hAnsiTheme="majorHAnsi" w:cstheme="majorHAnsi"/>
        </w:rPr>
      </w:pPr>
      <w:r>
        <w:rPr>
          <w:rFonts w:asciiTheme="majorHAnsi" w:hAnsiTheme="majorHAnsi" w:cstheme="majorHAnsi"/>
        </w:rPr>
        <w:t>Sala das Comissões, em 1</w:t>
      </w:r>
      <w:r w:rsidR="00895599">
        <w:rPr>
          <w:rFonts w:asciiTheme="majorHAnsi" w:hAnsiTheme="majorHAnsi" w:cstheme="majorHAnsi"/>
        </w:rPr>
        <w:t>9</w:t>
      </w:r>
      <w:r w:rsidR="00D41199">
        <w:rPr>
          <w:rFonts w:asciiTheme="majorHAnsi" w:hAnsiTheme="majorHAnsi" w:cstheme="majorHAnsi"/>
        </w:rPr>
        <w:t xml:space="preserve"> </w:t>
      </w:r>
      <w:r w:rsidR="00637C5F">
        <w:rPr>
          <w:rFonts w:asciiTheme="majorHAnsi" w:hAnsiTheme="majorHAnsi" w:cstheme="majorHAnsi"/>
        </w:rPr>
        <w:t xml:space="preserve">de </w:t>
      </w:r>
      <w:r w:rsidR="000D376F">
        <w:rPr>
          <w:rFonts w:asciiTheme="majorHAnsi" w:hAnsiTheme="majorHAnsi" w:cstheme="majorHAnsi"/>
        </w:rPr>
        <w:t>novem</w:t>
      </w:r>
      <w:r w:rsidR="004427D7">
        <w:rPr>
          <w:rFonts w:asciiTheme="majorHAnsi" w:hAnsiTheme="majorHAnsi" w:cstheme="majorHAnsi"/>
        </w:rPr>
        <w:t>bro</w:t>
      </w:r>
      <w:r w:rsidRPr="00D677F3" w:rsidR="006B31CF">
        <w:rPr>
          <w:rFonts w:asciiTheme="majorHAnsi" w:hAnsiTheme="majorHAnsi" w:cstheme="majorHAnsi"/>
        </w:rPr>
        <w:t xml:space="preserve"> de 2025.</w:t>
      </w:r>
    </w:p>
    <w:p w:rsidR="00D75C8D" w:rsidRPr="00D677F3" w:rsidP="00D677F3">
      <w:pPr>
        <w:pStyle w:val="NormalWeb"/>
        <w:spacing w:after="0" w:afterAutospacing="0"/>
        <w:contextualSpacing/>
        <w:jc w:val="center"/>
        <w:rPr>
          <w:rStyle w:val="Strong"/>
          <w:rFonts w:asciiTheme="majorHAnsi" w:hAnsiTheme="majorHAnsi" w:cstheme="majorHAnsi"/>
        </w:rPr>
      </w:pPr>
    </w:p>
    <w:p w:rsidR="00C0742F" w:rsidP="00D677F3">
      <w:pPr>
        <w:pStyle w:val="NormalWeb"/>
        <w:spacing w:after="0" w:afterAutospacing="0"/>
        <w:contextualSpacing/>
        <w:jc w:val="center"/>
        <w:rPr>
          <w:rFonts w:asciiTheme="majorHAnsi" w:hAnsiTheme="majorHAnsi" w:cstheme="majorHAnsi"/>
          <w:b/>
        </w:rPr>
      </w:pPr>
    </w:p>
    <w:p w:rsidR="00D75C8D" w:rsidRPr="00C0742F" w:rsidP="00D677F3">
      <w:pPr>
        <w:pStyle w:val="NormalWeb"/>
        <w:spacing w:after="0" w:afterAutospacing="0"/>
        <w:contextualSpacing/>
        <w:jc w:val="center"/>
        <w:rPr>
          <w:rFonts w:asciiTheme="majorHAnsi" w:hAnsiTheme="majorHAnsi" w:cstheme="majorHAnsi"/>
          <w:i/>
          <w:sz w:val="20"/>
        </w:rPr>
      </w:pPr>
      <w:r w:rsidRPr="00C0742F">
        <w:rPr>
          <w:rFonts w:asciiTheme="majorHAnsi" w:hAnsiTheme="majorHAnsi" w:cstheme="majorHAnsi"/>
          <w:i/>
          <w:sz w:val="20"/>
        </w:rPr>
        <w:t>(</w:t>
      </w:r>
      <w:r w:rsidRPr="00C0742F">
        <w:rPr>
          <w:rFonts w:asciiTheme="majorHAnsi" w:hAnsiTheme="majorHAnsi" w:cstheme="majorHAnsi"/>
          <w:i/>
          <w:sz w:val="20"/>
        </w:rPr>
        <w:t>assinado</w:t>
      </w:r>
      <w:r w:rsidRPr="00C0742F">
        <w:rPr>
          <w:rFonts w:asciiTheme="majorHAnsi" w:hAnsiTheme="majorHAnsi" w:cstheme="majorHAnsi"/>
          <w:i/>
          <w:sz w:val="20"/>
        </w:rPr>
        <w:t xml:space="preserve"> digitalmente)</w:t>
      </w: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20584A" w:rsidRPr="00D677F3" w:rsidP="00D677F3">
      <w:pPr>
        <w:pStyle w:val="NormalWeb"/>
        <w:spacing w:after="0" w:afterAutospacing="0"/>
        <w:contextualSpacing/>
        <w:jc w:val="center"/>
        <w:rPr>
          <w:rStyle w:val="Strong"/>
          <w:rFonts w:asciiTheme="majorHAnsi" w:hAnsiTheme="majorHAnsi" w:cstheme="majorHAnsi"/>
        </w:rPr>
      </w:pPr>
      <w:r w:rsidRPr="00D677F3">
        <w:rPr>
          <w:rFonts w:asciiTheme="majorHAnsi" w:hAnsiTheme="majorHAnsi" w:cstheme="majorHAnsi"/>
          <w:b/>
        </w:rPr>
        <w:t>Relatora</w:t>
      </w:r>
    </w:p>
    <w:p w:rsidR="0020584A"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bookmarkStart w:id="0" w:name="_GoBack"/>
      <w:bookmarkEnd w:id="0"/>
    </w:p>
    <w:p w:rsidR="00D75C8D" w:rsidRPr="00CD6830" w:rsidP="00895599">
      <w:pPr>
        <w:jc w:val="center"/>
        <w:rPr>
          <w:rFonts w:asciiTheme="majorHAnsi" w:hAnsiTheme="majorHAnsi" w:cstheme="majorHAnsi"/>
          <w:b/>
          <w:bCs/>
          <w:sz w:val="24"/>
          <w:szCs w:val="24"/>
        </w:rPr>
      </w:pPr>
      <w:r>
        <w:rPr>
          <w:rFonts w:asciiTheme="majorHAnsi" w:hAnsiTheme="majorHAnsi" w:cstheme="majorHAnsi"/>
          <w:b/>
          <w:sz w:val="24"/>
          <w:szCs w:val="24"/>
        </w:rPr>
        <w:t>P</w:t>
      </w:r>
      <w:r w:rsidRPr="008E6358" w:rsidR="00472595">
        <w:rPr>
          <w:rFonts w:asciiTheme="majorHAnsi" w:hAnsiTheme="majorHAnsi" w:cstheme="majorHAnsi"/>
          <w:b/>
          <w:sz w:val="24"/>
          <w:szCs w:val="24"/>
        </w:rPr>
        <w:t>ARECER FAVORÁVEL DA COMISSÃO DE FINANÇAS E ORÇAMENTO.</w:t>
      </w:r>
    </w:p>
    <w:p w:rsidR="0020584A"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rPr>
        <w:t xml:space="preserve">Seguindo o Voto exarado pela Relatora e conforme determina o artigo 37, da Resolução Nº 276 de 09 de novembro de 2.010, a Comissão de Finanças e Orçamento, formaliza o presente </w:t>
      </w:r>
      <w:r w:rsidRPr="00D677F3">
        <w:rPr>
          <w:rFonts w:asciiTheme="majorHAnsi" w:hAnsiTheme="majorHAnsi" w:cstheme="majorHAnsi"/>
          <w:b/>
        </w:rPr>
        <w:t>PARECER FAVORÁVEL.</w:t>
      </w:r>
    </w:p>
    <w:p w:rsidR="00D75C8D" w:rsidRPr="00D677F3" w:rsidP="00D677F3">
      <w:pPr>
        <w:pStyle w:val="NormalWeb"/>
        <w:spacing w:after="0" w:afterAutospacing="0"/>
        <w:contextualSpacing/>
        <w:jc w:val="both"/>
        <w:rPr>
          <w:rFonts w:asciiTheme="majorHAnsi" w:hAnsiTheme="majorHAnsi" w:cstheme="majorHAnsi"/>
          <w:b/>
        </w:rPr>
      </w:pPr>
    </w:p>
    <w:p w:rsidR="006B31CF" w:rsidRPr="00D677F3" w:rsidP="00D677F3">
      <w:pPr>
        <w:pStyle w:val="NormalWeb"/>
        <w:spacing w:after="0" w:afterAutospacing="0"/>
        <w:contextualSpacing/>
        <w:jc w:val="both"/>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6B31CF" w:rsidP="00D677F3">
      <w:pPr>
        <w:pStyle w:val="NormalWeb"/>
        <w:spacing w:after="0" w:afterAutospacing="0"/>
        <w:contextualSpacing/>
        <w:jc w:val="center"/>
        <w:rPr>
          <w:rFonts w:asciiTheme="majorHAnsi" w:hAnsiTheme="majorHAnsi" w:cstheme="majorHAnsi"/>
        </w:rPr>
      </w:pPr>
      <w:r w:rsidRPr="00D677F3">
        <w:rPr>
          <w:rFonts w:asciiTheme="majorHAnsi" w:hAnsiTheme="majorHAnsi" w:cstheme="majorHAnsi"/>
        </w:rPr>
        <w:t>Sala das Co</w:t>
      </w:r>
      <w:r w:rsidR="00637C5F">
        <w:rPr>
          <w:rFonts w:asciiTheme="majorHAnsi" w:hAnsiTheme="majorHAnsi" w:cstheme="majorHAnsi"/>
        </w:rPr>
        <w:t xml:space="preserve">missões, em </w:t>
      </w:r>
      <w:r w:rsidR="0003626B">
        <w:rPr>
          <w:rFonts w:asciiTheme="majorHAnsi" w:hAnsiTheme="majorHAnsi" w:cstheme="majorHAnsi"/>
        </w:rPr>
        <w:t>1</w:t>
      </w:r>
      <w:r w:rsidR="00895599">
        <w:rPr>
          <w:rFonts w:asciiTheme="majorHAnsi" w:hAnsiTheme="majorHAnsi" w:cstheme="majorHAnsi"/>
        </w:rPr>
        <w:t>9</w:t>
      </w:r>
      <w:r w:rsidR="00637C5F">
        <w:rPr>
          <w:rFonts w:asciiTheme="majorHAnsi" w:hAnsiTheme="majorHAnsi" w:cstheme="majorHAnsi"/>
        </w:rPr>
        <w:t xml:space="preserve"> de </w:t>
      </w:r>
      <w:r w:rsidR="000D376F">
        <w:rPr>
          <w:rFonts w:asciiTheme="majorHAnsi" w:hAnsiTheme="majorHAnsi" w:cstheme="majorHAnsi"/>
        </w:rPr>
        <w:t>novemb</w:t>
      </w:r>
      <w:r w:rsidR="004427D7">
        <w:rPr>
          <w:rFonts w:asciiTheme="majorHAnsi" w:hAnsiTheme="majorHAnsi" w:cstheme="majorHAnsi"/>
        </w:rPr>
        <w:t>ro</w:t>
      </w:r>
      <w:r w:rsidRPr="00D677F3">
        <w:rPr>
          <w:rFonts w:asciiTheme="majorHAnsi" w:hAnsiTheme="majorHAnsi" w:cstheme="majorHAnsi"/>
        </w:rPr>
        <w:t xml:space="preserve"> de 2025.</w:t>
      </w:r>
    </w:p>
    <w:p w:rsidR="00D75C8D" w:rsidRPr="00D677F3" w:rsidP="00D677F3">
      <w:pPr>
        <w:pStyle w:val="NormalWeb"/>
        <w:spacing w:after="0" w:afterAutospacing="0"/>
        <w:contextualSpacing/>
        <w:jc w:val="center"/>
        <w:rPr>
          <w:rStyle w:val="Strong"/>
          <w:rFonts w:asciiTheme="majorHAnsi" w:hAnsiTheme="majorHAnsi" w:cstheme="majorHAnsi"/>
          <w:b w:val="0"/>
        </w:rPr>
      </w:pPr>
    </w:p>
    <w:p w:rsidR="0020584A" w:rsidRPr="00D677F3" w:rsidP="00D677F3">
      <w:pPr>
        <w:pStyle w:val="NormalWeb"/>
        <w:spacing w:after="0" w:afterAutospacing="0"/>
        <w:contextualSpacing/>
        <w:jc w:val="both"/>
        <w:rPr>
          <w:rStyle w:val="Strong"/>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b/>
          <w:u w:val="single"/>
        </w:rPr>
      </w:pPr>
    </w:p>
    <w:p w:rsidR="00F660F1" w:rsidP="00D677F3">
      <w:pPr>
        <w:pStyle w:val="NormalWeb"/>
        <w:spacing w:after="0" w:afterAutospacing="0"/>
        <w:contextualSpacing/>
        <w:jc w:val="center"/>
        <w:rPr>
          <w:rFonts w:asciiTheme="majorHAnsi" w:hAnsiTheme="majorHAnsi" w:cstheme="majorHAnsi"/>
          <w:b/>
          <w:u w:val="single"/>
        </w:rPr>
      </w:pPr>
    </w:p>
    <w:p w:rsidR="00F660F1" w:rsidP="00D677F3">
      <w:pPr>
        <w:pStyle w:val="NormalWeb"/>
        <w:spacing w:after="0" w:afterAutospacing="0"/>
        <w:contextualSpacing/>
        <w:jc w:val="center"/>
        <w:rPr>
          <w:rFonts w:asciiTheme="majorHAnsi" w:hAnsiTheme="majorHAnsi" w:cstheme="majorHAnsi"/>
          <w:b/>
          <w:u w:val="single"/>
        </w:rPr>
      </w:pPr>
    </w:p>
    <w:p w:rsidR="006B31CF" w:rsidP="00D677F3">
      <w:pPr>
        <w:pStyle w:val="NormalWeb"/>
        <w:spacing w:after="0" w:afterAutospacing="0"/>
        <w:contextualSpacing/>
        <w:jc w:val="center"/>
        <w:rPr>
          <w:rFonts w:asciiTheme="majorHAnsi" w:hAnsiTheme="majorHAnsi" w:cstheme="majorHAnsi"/>
          <w:b/>
          <w:u w:val="single"/>
        </w:rPr>
      </w:pPr>
      <w:r w:rsidRPr="00D677F3">
        <w:rPr>
          <w:rFonts w:asciiTheme="majorHAnsi" w:hAnsiTheme="majorHAnsi" w:cstheme="majorHAnsi"/>
          <w:b/>
          <w:u w:val="single"/>
        </w:rPr>
        <w:t>COMISSÃO DE FINANÇAS E ORÇAMENTO</w:t>
      </w:r>
    </w:p>
    <w:p w:rsidR="00525ABC" w:rsidRPr="00D677F3" w:rsidP="00D677F3">
      <w:pPr>
        <w:pStyle w:val="NormalWeb"/>
        <w:spacing w:after="0" w:afterAutospacing="0"/>
        <w:contextualSpacing/>
        <w:jc w:val="center"/>
        <w:rPr>
          <w:rFonts w:asciiTheme="majorHAnsi" w:hAnsiTheme="majorHAnsi" w:cstheme="majorHAnsi"/>
          <w:b/>
          <w:u w:val="single"/>
        </w:rPr>
      </w:pPr>
    </w:p>
    <w:p w:rsidR="006B31CF"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Presidente/Relatora</w:t>
      </w:r>
    </w:p>
    <w:p w:rsidR="00D75C8D" w:rsidP="00D677F3">
      <w:pPr>
        <w:pStyle w:val="NormalWeb"/>
        <w:spacing w:after="0" w:afterAutospacing="0"/>
        <w:contextualSpacing/>
        <w:jc w:val="center"/>
        <w:rPr>
          <w:rFonts w:asciiTheme="majorHAnsi" w:hAnsiTheme="majorHAnsi" w:cstheme="majorHAnsi"/>
          <w:b/>
        </w:rPr>
      </w:pPr>
    </w:p>
    <w:p w:rsidR="00525ABC"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 MÁRCIO DENER CORAN</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Vice-Presidente</w:t>
      </w:r>
    </w:p>
    <w:p w:rsidR="00D75C8D" w:rsidP="00D677F3">
      <w:pPr>
        <w:pStyle w:val="NormalWeb"/>
        <w:spacing w:after="0" w:afterAutospacing="0"/>
        <w:contextualSpacing/>
        <w:jc w:val="center"/>
        <w:rPr>
          <w:rFonts w:asciiTheme="majorHAnsi" w:hAnsiTheme="majorHAnsi" w:cstheme="majorHAnsi"/>
          <w:b/>
        </w:rPr>
      </w:pPr>
    </w:p>
    <w:p w:rsidR="00525ABC"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MARCOS PAULO CEGATTI</w:t>
      </w:r>
    </w:p>
    <w:p w:rsidR="006B31CF" w:rsidRPr="00D677F3" w:rsidP="00D677F3">
      <w:pPr>
        <w:pStyle w:val="NormalWeb"/>
        <w:spacing w:after="0" w:afterAutospacing="0"/>
        <w:contextualSpacing/>
        <w:jc w:val="center"/>
        <w:rPr>
          <w:rStyle w:val="Strong"/>
          <w:rFonts w:asciiTheme="majorHAnsi" w:hAnsiTheme="majorHAnsi" w:cstheme="majorHAnsi"/>
          <w:b w:val="0"/>
        </w:rPr>
      </w:pPr>
      <w:r w:rsidRPr="00D677F3">
        <w:rPr>
          <w:rFonts w:asciiTheme="majorHAnsi" w:hAnsiTheme="majorHAnsi" w:cstheme="majorHAnsi"/>
          <w:b/>
        </w:rPr>
        <w:t>Membro</w:t>
      </w: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F13148" w:rsidRPr="00D677F3" w:rsidP="00D677F3">
      <w:pPr>
        <w:pStyle w:val="NormalWeb"/>
        <w:spacing w:after="0" w:afterAutospacing="0"/>
        <w:contextualSpacing/>
        <w:jc w:val="both"/>
        <w:rPr>
          <w:rFonts w:asciiTheme="majorHAnsi" w:hAnsiTheme="majorHAnsi" w:cstheme="majorHAnsi"/>
          <w:color w:val="404040"/>
        </w:rPr>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851">
    <w:pPr>
      <w:pBdr>
        <w:top w:val="nil"/>
        <w:left w:val="nil"/>
        <w:bottom w:val="nil"/>
        <w:right w:val="nil"/>
        <w:between w:val="nil"/>
      </w:pBdr>
      <w:tabs>
        <w:tab w:val="center" w:pos="4419"/>
        <w:tab w:val="right" w:pos="8838"/>
      </w:tabs>
      <w:jc w:val="center"/>
      <w:rPr>
        <w:b/>
        <w:bCs/>
        <w:color w:val="000000"/>
        <w:sz w:val="18"/>
        <w:szCs w:val="18"/>
      </w:rPr>
    </w:pPr>
  </w:p>
  <w:p w:rsidR="00B06851">
    <w:pPr>
      <w:pBdr>
        <w:top w:val="nil"/>
        <w:left w:val="nil"/>
        <w:bottom w:val="nil"/>
        <w:right w:val="nil"/>
        <w:between w:val="nil"/>
      </w:pBdr>
      <w:tabs>
        <w:tab w:val="center" w:pos="4419"/>
        <w:tab w:val="right" w:pos="8838"/>
      </w:tabs>
      <w:jc w:val="center"/>
      <w:rPr>
        <w:b/>
        <w:bCs/>
        <w:color w:val="000000"/>
        <w:sz w:val="18"/>
        <w:szCs w:val="18"/>
      </w:rPr>
    </w:pPr>
  </w:p>
  <w:p w:rsidR="00B06851"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85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B06851">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851" w:rsidP="00F81655">
    <w:pPr>
      <w:pBdr>
        <w:top w:val="nil"/>
        <w:left w:val="nil"/>
        <w:bottom w:val="nil"/>
        <w:right w:val="nil"/>
        <w:between w:val="nil"/>
      </w:pBdr>
      <w:ind w:right="360"/>
      <w:jc w:val="center"/>
      <w:rPr>
        <w:rFonts w:ascii="Bookman Old Style" w:eastAsia="Arial" w:hAnsi="Bookman Old Style" w:cs="Arial"/>
        <w:b/>
        <w:color w:val="000000"/>
        <w:sz w:val="36"/>
        <w:szCs w:val="36"/>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-340995</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8A537A">
      <w:rPr>
        <w:rFonts w:ascii="Bookman Old Style" w:eastAsia="Arial" w:hAnsi="Bookman Old Style" w:cs="Arial"/>
        <w:b/>
        <w:color w:val="000000"/>
        <w:sz w:val="36"/>
        <w:szCs w:val="36"/>
      </w:rPr>
      <w:t>CÂMARA MUNICIPAL DE MOGI MIRIM</w:t>
    </w:r>
  </w:p>
  <w:p w:rsidR="00B06851"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color w:val="000000"/>
        <w:sz w:val="24"/>
        <w:szCs w:val="24"/>
      </w:rPr>
      <w:t>Estado de São Paulo</w:t>
    </w:r>
  </w:p>
  <w:p w:rsidR="00B06851"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975FEC"/>
    <w:multiLevelType w:val="hybridMultilevel"/>
    <w:tmpl w:val="070EF622"/>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D3290"/>
    <w:multiLevelType w:val="hybridMultilevel"/>
    <w:tmpl w:val="804688F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B32B7E"/>
    <w:multiLevelType w:val="multilevel"/>
    <w:tmpl w:val="84F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E24EF"/>
    <w:multiLevelType w:val="hybridMultilevel"/>
    <w:tmpl w:val="51548D50"/>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4258D4"/>
    <w:multiLevelType w:val="hybridMultilevel"/>
    <w:tmpl w:val="204C4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9B7115"/>
    <w:multiLevelType w:val="hybridMultilevel"/>
    <w:tmpl w:val="F872CD1C"/>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F935EB"/>
    <w:multiLevelType w:val="hybridMultilevel"/>
    <w:tmpl w:val="1F24227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C5F791D"/>
    <w:multiLevelType w:val="hybridMultilevel"/>
    <w:tmpl w:val="893417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EF5C32"/>
    <w:multiLevelType w:val="hybridMultilevel"/>
    <w:tmpl w:val="C616D3A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1"/>
  </w:num>
  <w:num w:numId="4">
    <w:abstractNumId w:val="10"/>
  </w:num>
  <w:num w:numId="5">
    <w:abstractNumId w:val="21"/>
  </w:num>
  <w:num w:numId="6">
    <w:abstractNumId w:val="23"/>
  </w:num>
  <w:num w:numId="7">
    <w:abstractNumId w:val="4"/>
  </w:num>
  <w:num w:numId="8">
    <w:abstractNumId w:val="12"/>
  </w:num>
  <w:num w:numId="9">
    <w:abstractNumId w:val="9"/>
  </w:num>
  <w:num w:numId="10">
    <w:abstractNumId w:val="8"/>
  </w:num>
  <w:num w:numId="11">
    <w:abstractNumId w:val="6"/>
  </w:num>
  <w:num w:numId="12">
    <w:abstractNumId w:val="16"/>
  </w:num>
  <w:num w:numId="13">
    <w:abstractNumId w:val="0"/>
  </w:num>
  <w:num w:numId="14">
    <w:abstractNumId w:val="3"/>
  </w:num>
  <w:num w:numId="15">
    <w:abstractNumId w:val="20"/>
  </w:num>
  <w:num w:numId="16">
    <w:abstractNumId w:val="13"/>
  </w:num>
  <w:num w:numId="17">
    <w:abstractNumId w:val="19"/>
  </w:num>
  <w:num w:numId="18">
    <w:abstractNumId w:val="5"/>
  </w:num>
  <w:num w:numId="19">
    <w:abstractNumId w:val="2"/>
  </w:num>
  <w:num w:numId="20">
    <w:abstractNumId w:val="18"/>
  </w:num>
  <w:num w:numId="21">
    <w:abstractNumId w:val="17"/>
  </w:num>
  <w:num w:numId="22">
    <w:abstractNumId w:val="22"/>
  </w:num>
  <w:num w:numId="23">
    <w:abstractNumId w:val="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6797"/>
    <w:rsid w:val="00027D0F"/>
    <w:rsid w:val="0003626B"/>
    <w:rsid w:val="00037531"/>
    <w:rsid w:val="00041A2D"/>
    <w:rsid w:val="00057A9B"/>
    <w:rsid w:val="000622A6"/>
    <w:rsid w:val="00064FC8"/>
    <w:rsid w:val="00070FE7"/>
    <w:rsid w:val="00071EF2"/>
    <w:rsid w:val="00072EB5"/>
    <w:rsid w:val="0008150E"/>
    <w:rsid w:val="00092E53"/>
    <w:rsid w:val="00096F36"/>
    <w:rsid w:val="000A1BE0"/>
    <w:rsid w:val="000A732D"/>
    <w:rsid w:val="000B1C6D"/>
    <w:rsid w:val="000C4A24"/>
    <w:rsid w:val="000D376F"/>
    <w:rsid w:val="000D498E"/>
    <w:rsid w:val="000E58E9"/>
    <w:rsid w:val="000F4933"/>
    <w:rsid w:val="00126AE5"/>
    <w:rsid w:val="001430B8"/>
    <w:rsid w:val="0015590E"/>
    <w:rsid w:val="00181506"/>
    <w:rsid w:val="00187FC6"/>
    <w:rsid w:val="001902E0"/>
    <w:rsid w:val="00192536"/>
    <w:rsid w:val="001949A5"/>
    <w:rsid w:val="001A3CE4"/>
    <w:rsid w:val="001B7303"/>
    <w:rsid w:val="0020165D"/>
    <w:rsid w:val="0020584A"/>
    <w:rsid w:val="00213987"/>
    <w:rsid w:val="00227E2C"/>
    <w:rsid w:val="00234376"/>
    <w:rsid w:val="00297379"/>
    <w:rsid w:val="002A2BD3"/>
    <w:rsid w:val="002A648D"/>
    <w:rsid w:val="002B5A45"/>
    <w:rsid w:val="002B71AC"/>
    <w:rsid w:val="002C0A99"/>
    <w:rsid w:val="002E3052"/>
    <w:rsid w:val="002F3157"/>
    <w:rsid w:val="002F589A"/>
    <w:rsid w:val="003121C8"/>
    <w:rsid w:val="00314B47"/>
    <w:rsid w:val="003200AF"/>
    <w:rsid w:val="00322469"/>
    <w:rsid w:val="00346786"/>
    <w:rsid w:val="00371A69"/>
    <w:rsid w:val="0038129E"/>
    <w:rsid w:val="00381C00"/>
    <w:rsid w:val="003A2ADE"/>
    <w:rsid w:val="003A5737"/>
    <w:rsid w:val="003A796B"/>
    <w:rsid w:val="003B1A59"/>
    <w:rsid w:val="003C6BCB"/>
    <w:rsid w:val="003D250F"/>
    <w:rsid w:val="003D6D21"/>
    <w:rsid w:val="003E5A51"/>
    <w:rsid w:val="003E60A2"/>
    <w:rsid w:val="003F0B47"/>
    <w:rsid w:val="003F64A5"/>
    <w:rsid w:val="00405098"/>
    <w:rsid w:val="00423EBB"/>
    <w:rsid w:val="00441DC5"/>
    <w:rsid w:val="004427D7"/>
    <w:rsid w:val="00446FA1"/>
    <w:rsid w:val="004557B8"/>
    <w:rsid w:val="00456770"/>
    <w:rsid w:val="00472595"/>
    <w:rsid w:val="004755B6"/>
    <w:rsid w:val="00493896"/>
    <w:rsid w:val="004A4450"/>
    <w:rsid w:val="004B3FD2"/>
    <w:rsid w:val="004B6FDF"/>
    <w:rsid w:val="004C0017"/>
    <w:rsid w:val="004C076A"/>
    <w:rsid w:val="004D46DA"/>
    <w:rsid w:val="004E6092"/>
    <w:rsid w:val="00500EA1"/>
    <w:rsid w:val="005242B1"/>
    <w:rsid w:val="00524D00"/>
    <w:rsid w:val="00525ABC"/>
    <w:rsid w:val="00543E03"/>
    <w:rsid w:val="005515A3"/>
    <w:rsid w:val="005559D9"/>
    <w:rsid w:val="0055728D"/>
    <w:rsid w:val="0057515A"/>
    <w:rsid w:val="0059215B"/>
    <w:rsid w:val="005A235E"/>
    <w:rsid w:val="005B27A9"/>
    <w:rsid w:val="005B5D7B"/>
    <w:rsid w:val="005B766F"/>
    <w:rsid w:val="005D21C6"/>
    <w:rsid w:val="005E491E"/>
    <w:rsid w:val="005F2654"/>
    <w:rsid w:val="005F4E55"/>
    <w:rsid w:val="005F54DA"/>
    <w:rsid w:val="00607589"/>
    <w:rsid w:val="006134E3"/>
    <w:rsid w:val="00613747"/>
    <w:rsid w:val="00620B91"/>
    <w:rsid w:val="00622738"/>
    <w:rsid w:val="006231B8"/>
    <w:rsid w:val="006231BE"/>
    <w:rsid w:val="00637C5F"/>
    <w:rsid w:val="00670C69"/>
    <w:rsid w:val="006834FE"/>
    <w:rsid w:val="0069403A"/>
    <w:rsid w:val="00697874"/>
    <w:rsid w:val="006A54A9"/>
    <w:rsid w:val="006A762A"/>
    <w:rsid w:val="006B31CF"/>
    <w:rsid w:val="006D1946"/>
    <w:rsid w:val="006E14A1"/>
    <w:rsid w:val="006F48DD"/>
    <w:rsid w:val="007038AD"/>
    <w:rsid w:val="00716314"/>
    <w:rsid w:val="00741F3B"/>
    <w:rsid w:val="00753ABE"/>
    <w:rsid w:val="007556D8"/>
    <w:rsid w:val="00766595"/>
    <w:rsid w:val="0078178E"/>
    <w:rsid w:val="00783794"/>
    <w:rsid w:val="00784CD4"/>
    <w:rsid w:val="00785E1B"/>
    <w:rsid w:val="007911EF"/>
    <w:rsid w:val="007A08D1"/>
    <w:rsid w:val="007B6058"/>
    <w:rsid w:val="007C6029"/>
    <w:rsid w:val="007C7AD8"/>
    <w:rsid w:val="007E1160"/>
    <w:rsid w:val="00804434"/>
    <w:rsid w:val="0081335D"/>
    <w:rsid w:val="00842408"/>
    <w:rsid w:val="00855DD2"/>
    <w:rsid w:val="008641BE"/>
    <w:rsid w:val="00864928"/>
    <w:rsid w:val="0086613A"/>
    <w:rsid w:val="008677CB"/>
    <w:rsid w:val="00881E60"/>
    <w:rsid w:val="0088465F"/>
    <w:rsid w:val="008905C2"/>
    <w:rsid w:val="00895599"/>
    <w:rsid w:val="008956B8"/>
    <w:rsid w:val="008A537A"/>
    <w:rsid w:val="008C08C5"/>
    <w:rsid w:val="008C125D"/>
    <w:rsid w:val="008C4AA2"/>
    <w:rsid w:val="008E6358"/>
    <w:rsid w:val="008F67DA"/>
    <w:rsid w:val="00902EE1"/>
    <w:rsid w:val="009048A2"/>
    <w:rsid w:val="00904ADF"/>
    <w:rsid w:val="00914ADC"/>
    <w:rsid w:val="00920A3F"/>
    <w:rsid w:val="00925E1A"/>
    <w:rsid w:val="00977D0F"/>
    <w:rsid w:val="0098102A"/>
    <w:rsid w:val="00983B49"/>
    <w:rsid w:val="009D4F58"/>
    <w:rsid w:val="009D56B8"/>
    <w:rsid w:val="009D6B7C"/>
    <w:rsid w:val="00A00E3E"/>
    <w:rsid w:val="00A12DD9"/>
    <w:rsid w:val="00A14E63"/>
    <w:rsid w:val="00A164DC"/>
    <w:rsid w:val="00A17FE4"/>
    <w:rsid w:val="00A23604"/>
    <w:rsid w:val="00A2712E"/>
    <w:rsid w:val="00A27446"/>
    <w:rsid w:val="00A52713"/>
    <w:rsid w:val="00A55914"/>
    <w:rsid w:val="00A672C0"/>
    <w:rsid w:val="00A92E38"/>
    <w:rsid w:val="00AD2770"/>
    <w:rsid w:val="00AE4353"/>
    <w:rsid w:val="00AE5858"/>
    <w:rsid w:val="00AE6D13"/>
    <w:rsid w:val="00AF0C05"/>
    <w:rsid w:val="00AF3296"/>
    <w:rsid w:val="00AF4193"/>
    <w:rsid w:val="00AF4AC7"/>
    <w:rsid w:val="00B06851"/>
    <w:rsid w:val="00B12415"/>
    <w:rsid w:val="00B30708"/>
    <w:rsid w:val="00B33FF5"/>
    <w:rsid w:val="00B45642"/>
    <w:rsid w:val="00B57090"/>
    <w:rsid w:val="00BA48C7"/>
    <w:rsid w:val="00BE2A4B"/>
    <w:rsid w:val="00BE41D6"/>
    <w:rsid w:val="00BE68FF"/>
    <w:rsid w:val="00BE6938"/>
    <w:rsid w:val="00BF2A6F"/>
    <w:rsid w:val="00BF47AD"/>
    <w:rsid w:val="00C00566"/>
    <w:rsid w:val="00C0742F"/>
    <w:rsid w:val="00C076DE"/>
    <w:rsid w:val="00C10154"/>
    <w:rsid w:val="00C2458E"/>
    <w:rsid w:val="00C3120C"/>
    <w:rsid w:val="00C31C89"/>
    <w:rsid w:val="00C56DF7"/>
    <w:rsid w:val="00C74E3F"/>
    <w:rsid w:val="00C75973"/>
    <w:rsid w:val="00CA4349"/>
    <w:rsid w:val="00CC230E"/>
    <w:rsid w:val="00CC3E72"/>
    <w:rsid w:val="00CD6830"/>
    <w:rsid w:val="00CF288D"/>
    <w:rsid w:val="00D233F3"/>
    <w:rsid w:val="00D33D19"/>
    <w:rsid w:val="00D41199"/>
    <w:rsid w:val="00D47DCE"/>
    <w:rsid w:val="00D52DAE"/>
    <w:rsid w:val="00D543E6"/>
    <w:rsid w:val="00D635A7"/>
    <w:rsid w:val="00D66197"/>
    <w:rsid w:val="00D677F3"/>
    <w:rsid w:val="00D735E2"/>
    <w:rsid w:val="00D75C8D"/>
    <w:rsid w:val="00D80A2E"/>
    <w:rsid w:val="00D81BDB"/>
    <w:rsid w:val="00D85ED2"/>
    <w:rsid w:val="00D9258F"/>
    <w:rsid w:val="00DA7AB4"/>
    <w:rsid w:val="00DC29E1"/>
    <w:rsid w:val="00DC2FDF"/>
    <w:rsid w:val="00DC32F0"/>
    <w:rsid w:val="00DD7EAE"/>
    <w:rsid w:val="00DE2A9A"/>
    <w:rsid w:val="00DF605F"/>
    <w:rsid w:val="00E11ECC"/>
    <w:rsid w:val="00E3543A"/>
    <w:rsid w:val="00E3658D"/>
    <w:rsid w:val="00E41ADD"/>
    <w:rsid w:val="00E471F3"/>
    <w:rsid w:val="00E57571"/>
    <w:rsid w:val="00E57668"/>
    <w:rsid w:val="00E7438B"/>
    <w:rsid w:val="00E86C91"/>
    <w:rsid w:val="00E978F5"/>
    <w:rsid w:val="00EA0447"/>
    <w:rsid w:val="00EA375D"/>
    <w:rsid w:val="00EA4E83"/>
    <w:rsid w:val="00EB1570"/>
    <w:rsid w:val="00EB3C9A"/>
    <w:rsid w:val="00EB5DDD"/>
    <w:rsid w:val="00EC5677"/>
    <w:rsid w:val="00ED7D93"/>
    <w:rsid w:val="00EE457C"/>
    <w:rsid w:val="00EF4DE4"/>
    <w:rsid w:val="00EF630E"/>
    <w:rsid w:val="00F00F78"/>
    <w:rsid w:val="00F10F57"/>
    <w:rsid w:val="00F13148"/>
    <w:rsid w:val="00F21F60"/>
    <w:rsid w:val="00F304D4"/>
    <w:rsid w:val="00F42F8D"/>
    <w:rsid w:val="00F52EC1"/>
    <w:rsid w:val="00F55E24"/>
    <w:rsid w:val="00F6470D"/>
    <w:rsid w:val="00F660F1"/>
    <w:rsid w:val="00F733EC"/>
    <w:rsid w:val="00F74441"/>
    <w:rsid w:val="00F81655"/>
    <w:rsid w:val="00F83282"/>
    <w:rsid w:val="00F91A1F"/>
    <w:rsid w:val="00F921DB"/>
    <w:rsid w:val="00FA65BC"/>
    <w:rsid w:val="00FB12A6"/>
    <w:rsid w:val="00FC75D4"/>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ACA42-C6FB-4823-BFB9-33644AE5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4283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Conta da Microsoft</cp:lastModifiedBy>
  <cp:revision>2</cp:revision>
  <cp:lastPrinted>2025-02-18T14:53:00Z</cp:lastPrinted>
  <dcterms:created xsi:type="dcterms:W3CDTF">2025-11-19T14:20:00Z</dcterms:created>
  <dcterms:modified xsi:type="dcterms:W3CDTF">2025-11-19T14:20:00Z</dcterms:modified>
</cp:coreProperties>
</file>