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2159" w:rsidRPr="00C8401A" w:rsidP="00D92159">
      <w:pPr>
        <w:spacing w:line="276" w:lineRule="auto"/>
        <w:jc w:val="center"/>
        <w:rPr>
          <w:b/>
          <w:sz w:val="24"/>
          <w:szCs w:val="24"/>
        </w:rPr>
      </w:pPr>
      <w:r w:rsidRPr="00C8401A">
        <w:rPr>
          <w:b/>
          <w:sz w:val="24"/>
          <w:szCs w:val="24"/>
        </w:rPr>
        <w:t>Emenda Nº 3 ao Projeto de Lei Nº 152/2025</w:t>
      </w:r>
      <w:r w:rsidRPr="00C8401A">
        <w:rPr>
          <w:b/>
          <w:sz w:val="24"/>
          <w:szCs w:val="24"/>
        </w:rPr>
        <w:t>Emenda Nº 3 ao Projeto de Lei Nº 152/2025</w:t>
      </w:r>
      <w:bookmarkStart w:id="0" w:name="_GoBack"/>
      <w:bookmarkEnd w:id="0"/>
    </w:p>
    <w:p w:rsidR="00D92159" w:rsidP="00D92159">
      <w:pPr>
        <w:spacing w:line="276" w:lineRule="auto"/>
        <w:rPr>
          <w:b/>
          <w:sz w:val="24"/>
          <w:szCs w:val="24"/>
        </w:rPr>
      </w:pPr>
    </w:p>
    <w:p w:rsidR="00D92159" w:rsidP="00D92159">
      <w:pPr>
        <w:spacing w:line="276" w:lineRule="auto"/>
        <w:jc w:val="center"/>
        <w:rPr>
          <w:b/>
          <w:sz w:val="24"/>
          <w:szCs w:val="24"/>
        </w:rPr>
      </w:pPr>
    </w:p>
    <w:p w:rsidR="00D92159" w:rsidRPr="00234560" w:rsidP="00D92159">
      <w:pPr>
        <w:spacing w:line="276" w:lineRule="auto"/>
        <w:jc w:val="center"/>
        <w:rPr>
          <w:sz w:val="24"/>
          <w:szCs w:val="24"/>
          <w:u w:val="single"/>
        </w:rPr>
      </w:pPr>
      <w:r w:rsidRPr="00234560">
        <w:rPr>
          <w:b/>
          <w:sz w:val="24"/>
          <w:szCs w:val="24"/>
          <w:u w:val="single"/>
        </w:rPr>
        <w:t>EMEND</w:t>
      </w:r>
      <w:r w:rsidRPr="00234560" w:rsidR="00234560">
        <w:rPr>
          <w:b/>
          <w:sz w:val="24"/>
          <w:szCs w:val="24"/>
          <w:u w:val="single"/>
        </w:rPr>
        <w:t>A ADITIVA</w:t>
      </w:r>
    </w:p>
    <w:p w:rsidR="00D92159" w:rsidRPr="001E5474" w:rsidP="00D92159">
      <w:pPr>
        <w:spacing w:line="276" w:lineRule="auto"/>
        <w:jc w:val="both"/>
        <w:rPr>
          <w:sz w:val="24"/>
          <w:szCs w:val="24"/>
        </w:rPr>
      </w:pPr>
    </w:p>
    <w:p w:rsidR="00D92159" w:rsidP="00D92159">
      <w:pPr>
        <w:spacing w:line="276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D92159" w:rsidRPr="00F27747" w:rsidP="00D92159">
      <w:pPr>
        <w:spacing w:line="360" w:lineRule="auto"/>
        <w:ind w:firstLine="708"/>
        <w:jc w:val="both"/>
        <w:rPr>
          <w:bCs/>
          <w:sz w:val="24"/>
          <w:szCs w:val="24"/>
          <w:lang w:eastAsia="pt-BR"/>
        </w:rPr>
      </w:pPr>
      <w:r w:rsidRPr="00F27747">
        <w:rPr>
          <w:bCs/>
          <w:sz w:val="24"/>
          <w:szCs w:val="24"/>
          <w:lang w:eastAsia="pt-BR"/>
        </w:rPr>
        <w:t>Acrescentar Parágrafo Único ao art. 2º:</w:t>
      </w:r>
    </w:p>
    <w:p w:rsidR="00D92159" w:rsidRPr="00F27747" w:rsidP="00D92159">
      <w:pPr>
        <w:spacing w:line="360" w:lineRule="auto"/>
        <w:ind w:firstLine="708"/>
        <w:jc w:val="both"/>
        <w:rPr>
          <w:bCs/>
          <w:sz w:val="24"/>
          <w:szCs w:val="24"/>
          <w:lang w:eastAsia="pt-BR"/>
        </w:rPr>
      </w:pPr>
    </w:p>
    <w:p w:rsidR="00D92159" w:rsidRPr="001E5474" w:rsidP="00D92159">
      <w:pPr>
        <w:spacing w:line="276" w:lineRule="auto"/>
        <w:ind w:firstLine="708"/>
        <w:jc w:val="both"/>
        <w:rPr>
          <w:sz w:val="24"/>
          <w:szCs w:val="24"/>
        </w:rPr>
      </w:pPr>
      <w:r w:rsidRPr="00F27747">
        <w:rPr>
          <w:bCs/>
          <w:i/>
          <w:sz w:val="24"/>
          <w:szCs w:val="24"/>
          <w:lang w:eastAsia="pt-BR"/>
        </w:rPr>
        <w:t>“Parágrafo Único – A receita oriunda da alienação prevista nesta Lei deverá ser integralmente destinada a investimentos públicos ou à amortização da dívida fundada do Município, sendo vedada sua aplicação em despesas correntes, em observância ao art. 44 da Lei Complementar nº 101/</w:t>
      </w:r>
      <w:r w:rsidRPr="00F27747">
        <w:rPr>
          <w:bCs/>
          <w:i/>
          <w:sz w:val="24"/>
          <w:szCs w:val="24"/>
          <w:lang w:eastAsia="pt-BR"/>
        </w:rPr>
        <w:t>2000.”</w:t>
      </w:r>
      <w:r w:rsidRPr="001E5474">
        <w:rPr>
          <w:b/>
          <w:sz w:val="24"/>
          <w:szCs w:val="24"/>
        </w:rPr>
        <w:tab/>
      </w:r>
    </w:p>
    <w:p w:rsidR="00D92159" w:rsidP="00D92159">
      <w:pPr>
        <w:spacing w:line="276" w:lineRule="auto"/>
        <w:jc w:val="center"/>
        <w:rPr>
          <w:b/>
          <w:bCs/>
          <w:sz w:val="24"/>
          <w:szCs w:val="24"/>
        </w:rPr>
      </w:pPr>
    </w:p>
    <w:p w:rsidR="00D92159" w:rsidP="00D92159">
      <w:pPr>
        <w:spacing w:line="276" w:lineRule="auto"/>
        <w:rPr>
          <w:b/>
          <w:bCs/>
          <w:sz w:val="24"/>
          <w:szCs w:val="24"/>
        </w:rPr>
      </w:pPr>
    </w:p>
    <w:p w:rsidR="00D92159" w:rsidP="00D92159">
      <w:pPr>
        <w:spacing w:line="276" w:lineRule="auto"/>
        <w:rPr>
          <w:b/>
          <w:bCs/>
          <w:sz w:val="24"/>
          <w:szCs w:val="24"/>
        </w:rPr>
      </w:pPr>
    </w:p>
    <w:p w:rsidR="00D92159" w:rsidRPr="001E5474" w:rsidP="00D92159">
      <w:pPr>
        <w:spacing w:line="276" w:lineRule="auto"/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>Sala das Sess</w:t>
      </w:r>
      <w:r w:rsidR="007E2291">
        <w:rPr>
          <w:b/>
          <w:bCs/>
          <w:sz w:val="24"/>
          <w:szCs w:val="24"/>
        </w:rPr>
        <w:t>ões “VEREADOR SANTO RÓTOLLI”, 25</w:t>
      </w:r>
      <w:r>
        <w:rPr>
          <w:b/>
          <w:bCs/>
          <w:sz w:val="24"/>
          <w:szCs w:val="24"/>
        </w:rPr>
        <w:t xml:space="preserve"> de novembro</w:t>
      </w:r>
      <w:r w:rsidRPr="001E5474">
        <w:rPr>
          <w:b/>
          <w:bCs/>
          <w:sz w:val="24"/>
          <w:szCs w:val="24"/>
        </w:rPr>
        <w:t xml:space="preserve"> de 2025.</w:t>
      </w:r>
    </w:p>
    <w:p w:rsidR="00D92159" w:rsidRPr="001E5474" w:rsidP="00D92159">
      <w:pPr>
        <w:tabs>
          <w:tab w:val="left" w:pos="5700"/>
        </w:tabs>
        <w:spacing w:line="276" w:lineRule="auto"/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D92159" w:rsidRPr="001E5474" w:rsidP="00D92159">
      <w:pPr>
        <w:pStyle w:val="LO-Normal"/>
        <w:spacing w:line="276" w:lineRule="auto"/>
        <w:rPr>
          <w:rStyle w:val="Fontepargpadro1"/>
          <w:rFonts w:cs="Times New Roman"/>
          <w:b/>
          <w:sz w:val="24"/>
          <w:szCs w:val="24"/>
        </w:rPr>
      </w:pPr>
    </w:p>
    <w:p w:rsidR="00D92159" w:rsidP="00D92159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D92159" w:rsidP="00D92159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7E2291" w:rsidRPr="00DC1D64" w:rsidP="007E2291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7E2291" w:rsidRPr="002717DE" w:rsidP="007E229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D92159" w:rsidRPr="001E5474" w:rsidP="00D92159">
      <w:pPr>
        <w:pStyle w:val="LO-Normal"/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92159" w:rsidRPr="001E5474" w:rsidP="00D92159">
      <w:pPr>
        <w:spacing w:line="276" w:lineRule="auto"/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D92159" w:rsidP="00D92159">
      <w:pPr>
        <w:pStyle w:val="Normal1"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:rsidR="00D92159" w:rsidP="00D9215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D92159" w:rsidRPr="001E5474" w:rsidP="00D9215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D92159" w:rsidRPr="001E5474" w:rsidP="00D92159">
      <w:pPr>
        <w:pStyle w:val="Normal1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D92159" w:rsidP="00D92159">
      <w:pPr>
        <w:spacing w:line="276" w:lineRule="auto"/>
        <w:ind w:firstLine="708"/>
        <w:jc w:val="both"/>
        <w:rPr>
          <w:sz w:val="24"/>
          <w:szCs w:val="24"/>
        </w:rPr>
      </w:pPr>
      <w:r w:rsidRPr="00D92159">
        <w:rPr>
          <w:sz w:val="24"/>
          <w:szCs w:val="24"/>
        </w:rPr>
        <w:t xml:space="preserve">A inclusão reforça o comando legal sobre a destinação das receitas de capital provenientes da alienação de bens públicos, proporcionando maior segurança jurídica, evitando interpretações equivocadas e garantindo que o uso dos valores atenda exclusivamente a finalidades de investimento, como exige a legislação </w:t>
      </w:r>
      <w:r>
        <w:rPr>
          <w:sz w:val="24"/>
          <w:szCs w:val="24"/>
        </w:rPr>
        <w:t>federal.</w:t>
      </w:r>
    </w:p>
    <w:p w:rsidR="007F7E33" w:rsidP="00D92159">
      <w:pPr>
        <w:spacing w:line="276" w:lineRule="auto"/>
        <w:ind w:firstLine="708"/>
        <w:jc w:val="both"/>
        <w:rPr>
          <w:sz w:val="24"/>
          <w:szCs w:val="24"/>
        </w:rPr>
      </w:pPr>
      <w:r w:rsidRPr="00D92159">
        <w:rPr>
          <w:sz w:val="24"/>
          <w:szCs w:val="24"/>
        </w:rPr>
        <w:t>Embora o artigo 44 da Lei Complementar nº 101/2000</w:t>
      </w:r>
      <w:r>
        <w:rPr>
          <w:sz w:val="24"/>
          <w:szCs w:val="24"/>
        </w:rPr>
        <w:t xml:space="preserve"> (Lei de Responsabilidade Fiscal) </w:t>
      </w:r>
      <w:r w:rsidRPr="00D92159">
        <w:rPr>
          <w:sz w:val="24"/>
          <w:szCs w:val="24"/>
        </w:rPr>
        <w:t>não mencione explicitamente a "amortização de dívidas fundadas", a implicação é que, sendo a amortização de dívida uma despesa de capital (e não corrente), essa destinação é permitida e, em muitos casos, necessária para o equilíbrio fiscal, especialmente em municípios com restrições orçamentárias ou que buscam cumprir limites de endividamento.</w:t>
      </w:r>
    </w:p>
    <w:p w:rsidR="00D92159" w:rsidRPr="00D92159" w:rsidP="00D92159">
      <w:pPr>
        <w:spacing w:line="276" w:lineRule="auto"/>
        <w:ind w:firstLine="708"/>
        <w:jc w:val="both"/>
        <w:rPr>
          <w:sz w:val="24"/>
          <w:szCs w:val="24"/>
        </w:rPr>
      </w:pPr>
      <w:r w:rsidRPr="00D92159">
        <w:rPr>
          <w:sz w:val="24"/>
          <w:szCs w:val="24"/>
        </w:rPr>
        <w:t>Desta forma, a Câmara Municipal aumenta a transparência e o controle legislativo sobre o emprego dos recursos obtidos com a venda dos imóveis.</w:t>
      </w:r>
    </w:p>
    <w:sectPr w:rsidSect="00D92159">
      <w:headerReference w:type="default" r:id="rId4"/>
      <w:footerReference w:type="default" r:id="rId5"/>
      <w:pgSz w:w="11906" w:h="16838"/>
      <w:pgMar w:top="2552" w:right="1701" w:bottom="851" w:left="1701" w:header="708" w:footer="47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 w:rsidP="00C8401A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58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59"/>
    <w:rsid w:val="001C6FDD"/>
    <w:rsid w:val="001E5474"/>
    <w:rsid w:val="00234560"/>
    <w:rsid w:val="002717DE"/>
    <w:rsid w:val="00292F76"/>
    <w:rsid w:val="007126D4"/>
    <w:rsid w:val="00746E54"/>
    <w:rsid w:val="007E2291"/>
    <w:rsid w:val="007F7E33"/>
    <w:rsid w:val="00C8401A"/>
    <w:rsid w:val="00D92159"/>
    <w:rsid w:val="00DC1D64"/>
    <w:rsid w:val="00E86FBB"/>
    <w:rsid w:val="00F277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DD506F-65B1-46CB-9930-D92DF007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1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D92159"/>
  </w:style>
  <w:style w:type="paragraph" w:styleId="Header">
    <w:name w:val="header"/>
    <w:basedOn w:val="Normal"/>
    <w:link w:val="CabealhoChar"/>
    <w:rsid w:val="00D921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9215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D921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9215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D921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D92159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  <w:style w:type="paragraph" w:styleId="NoSpacing">
    <w:name w:val="No Spacing"/>
    <w:uiPriority w:val="1"/>
    <w:qFormat/>
    <w:rsid w:val="007E2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2025-11-25T11:04:48Z</cp:lastPrinted>
  <dcterms:created xsi:type="dcterms:W3CDTF">2025-11-19T19:29:00Z</dcterms:created>
  <dcterms:modified xsi:type="dcterms:W3CDTF">2025-11-25T11:03:00Z</dcterms:modified>
</cp:coreProperties>
</file>