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7437" w:rsidP="004A7437" w14:paraId="1C6D6DB7" w14:textId="77777777">
      <w:pPr>
        <w:pBdr>
          <w:top w:val="nil"/>
          <w:left w:val="nil"/>
          <w:bottom w:val="nil"/>
          <w:right w:val="nil"/>
          <w:between w:val="nil"/>
        </w:pBdr>
        <w:spacing w:line="360" w:lineRule="auto"/>
        <w:rPr>
          <w:b/>
          <w:color w:val="000000"/>
          <w:sz w:val="24"/>
          <w:szCs w:val="24"/>
        </w:rPr>
      </w:pPr>
    </w:p>
    <w:p w:rsidR="00322469" w:rsidRPr="002A7B5A" w:rsidP="004A7437" w14:paraId="0380B7DA" w14:textId="361CA97F">
      <w:pPr>
        <w:pBdr>
          <w:top w:val="nil"/>
          <w:left w:val="nil"/>
          <w:bottom w:val="nil"/>
          <w:right w:val="nil"/>
          <w:between w:val="nil"/>
        </w:pBdr>
        <w:spacing w:line="360" w:lineRule="auto"/>
        <w:rPr>
          <w:rFonts w:asciiTheme="majorHAnsi" w:hAnsiTheme="majorHAnsi" w:cstheme="majorHAnsi"/>
          <w:b/>
          <w:color w:val="000000"/>
          <w:sz w:val="24"/>
          <w:szCs w:val="24"/>
        </w:rPr>
      </w:pPr>
      <w:r w:rsidRPr="002A7B5A">
        <w:rPr>
          <w:rFonts w:asciiTheme="majorHAnsi" w:hAnsiTheme="majorHAnsi" w:cstheme="majorHAnsi"/>
          <w:b/>
          <w:color w:val="000000"/>
          <w:sz w:val="24"/>
          <w:szCs w:val="24"/>
        </w:rPr>
        <w:t>RELATÓRIO</w:t>
      </w:r>
    </w:p>
    <w:p w:rsidR="00322469" w:rsidRPr="002A7B5A" w:rsidP="003D6D21" w14:paraId="7C19DA44" w14:textId="77777777">
      <w:pPr>
        <w:pBdr>
          <w:top w:val="nil"/>
          <w:left w:val="nil"/>
          <w:bottom w:val="nil"/>
          <w:right w:val="nil"/>
          <w:between w:val="nil"/>
        </w:pBdr>
        <w:spacing w:line="360" w:lineRule="auto"/>
        <w:jc w:val="center"/>
        <w:rPr>
          <w:rFonts w:asciiTheme="majorHAnsi" w:hAnsiTheme="majorHAnsi" w:cstheme="majorHAnsi"/>
          <w:b/>
          <w:sz w:val="24"/>
          <w:szCs w:val="24"/>
        </w:rPr>
      </w:pPr>
    </w:p>
    <w:p w:rsidR="00CA6258" w:rsidRPr="002A7B5A" w:rsidP="00163F50" w14:paraId="1E87F99B" w14:textId="17B59D7C">
      <w:pPr>
        <w:pStyle w:val="NormalWeb"/>
        <w:spacing w:before="0" w:beforeAutospacing="0" w:after="0" w:afterAutospacing="0" w:line="360" w:lineRule="auto"/>
        <w:jc w:val="both"/>
        <w:rPr>
          <w:rStyle w:val="Strong"/>
          <w:rFonts w:asciiTheme="majorHAnsi" w:hAnsiTheme="majorHAnsi" w:cstheme="majorHAnsi"/>
        </w:rPr>
      </w:pPr>
      <w:r w:rsidRPr="002A7B5A">
        <w:rPr>
          <w:rStyle w:val="Strong"/>
          <w:rFonts w:asciiTheme="majorHAnsi" w:hAnsiTheme="majorHAnsi" w:cstheme="majorHAnsi"/>
        </w:rPr>
        <w:t xml:space="preserve">PROJETO DE </w:t>
      </w:r>
      <w:r w:rsidRPr="002A7B5A" w:rsidR="0019515C">
        <w:rPr>
          <w:rStyle w:val="Strong"/>
          <w:rFonts w:asciiTheme="majorHAnsi" w:hAnsiTheme="majorHAnsi" w:cstheme="majorHAnsi"/>
        </w:rPr>
        <w:t>LE</w:t>
      </w:r>
      <w:r w:rsidRPr="002A7B5A" w:rsidR="00B07CA3">
        <w:rPr>
          <w:rStyle w:val="Strong"/>
          <w:rFonts w:asciiTheme="majorHAnsi" w:hAnsiTheme="majorHAnsi" w:cstheme="majorHAnsi"/>
        </w:rPr>
        <w:t>I</w:t>
      </w:r>
      <w:r w:rsidRPr="002A7B5A" w:rsidR="00AE2868">
        <w:rPr>
          <w:rStyle w:val="Strong"/>
          <w:rFonts w:asciiTheme="majorHAnsi" w:hAnsiTheme="majorHAnsi" w:cstheme="majorHAnsi"/>
        </w:rPr>
        <w:t xml:space="preserve"> COMPLEMENTAR Nº 25</w:t>
      </w:r>
      <w:r w:rsidRPr="002A7B5A" w:rsidR="00F74441">
        <w:rPr>
          <w:rStyle w:val="Strong"/>
          <w:rFonts w:asciiTheme="majorHAnsi" w:hAnsiTheme="majorHAnsi" w:cstheme="majorHAnsi"/>
        </w:rPr>
        <w:t xml:space="preserve"> DE 2025</w:t>
      </w:r>
      <w:r w:rsidRPr="002A7B5A" w:rsidR="0019515C">
        <w:rPr>
          <w:rStyle w:val="Strong"/>
          <w:rFonts w:asciiTheme="majorHAnsi" w:hAnsiTheme="majorHAnsi" w:cstheme="majorHAnsi"/>
        </w:rPr>
        <w:t xml:space="preserve"> – </w:t>
      </w:r>
      <w:r w:rsidRPr="002A7B5A" w:rsidR="00AE2868">
        <w:rPr>
          <w:rStyle w:val="Strong"/>
          <w:rFonts w:asciiTheme="majorHAnsi" w:hAnsiTheme="majorHAnsi" w:cstheme="majorHAnsi"/>
        </w:rPr>
        <w:t>PODER EXECUTIVO</w:t>
      </w:r>
      <w:r w:rsidRPr="002A7B5A" w:rsidR="0019515C">
        <w:rPr>
          <w:rStyle w:val="Strong"/>
          <w:rFonts w:asciiTheme="majorHAnsi" w:hAnsiTheme="majorHAnsi" w:cstheme="majorHAnsi"/>
        </w:rPr>
        <w:t>.</w:t>
      </w:r>
    </w:p>
    <w:p w:rsidR="00042E80" w:rsidRPr="002A7B5A" w:rsidP="00163F50" w14:paraId="2C889281" w14:textId="0B44376E">
      <w:pPr>
        <w:pStyle w:val="NormalWeb"/>
        <w:spacing w:before="0" w:beforeAutospacing="0" w:after="0" w:afterAutospacing="0" w:line="360" w:lineRule="auto"/>
        <w:contextualSpacing/>
        <w:jc w:val="both"/>
        <w:rPr>
          <w:rFonts w:asciiTheme="majorHAnsi" w:hAnsiTheme="majorHAnsi" w:cstheme="majorHAnsi"/>
          <w:b/>
          <w:bCs/>
        </w:rPr>
      </w:pPr>
      <w:r w:rsidRPr="002A7B5A">
        <w:rPr>
          <w:rFonts w:asciiTheme="majorHAnsi" w:hAnsiTheme="majorHAnsi" w:cstheme="majorHAnsi"/>
          <w:i/>
          <w:color w:val="333333"/>
        </w:rPr>
        <w:t>ALTERA DISPOSITIVO DA LEI COMPLEMENTAR Nº 206, DE 27 DE DEZEMBRO DE 2006, QUE TRATA DO QUADRO DE PESSOAL, PLANO DE EMPREGOS, SALÁRIOS, CARREIRA DOS FUNCIONÁRIOS DO SERVIÇO AUTÔNOMO DE ÁGUA E ESGOTOS DE MOGI MIRIM</w:t>
      </w:r>
      <w:r w:rsidRPr="002A7B5A">
        <w:rPr>
          <w:rFonts w:asciiTheme="majorHAnsi" w:hAnsiTheme="majorHAnsi" w:cstheme="majorHAnsi"/>
          <w:color w:val="333333"/>
          <w:shd w:val="clear" w:color="auto" w:fill="F5F5F5"/>
        </w:rPr>
        <w:t>.</w:t>
      </w:r>
      <w:r w:rsidRPr="002A7B5A">
        <w:rPr>
          <w:rFonts w:asciiTheme="majorHAnsi" w:hAnsiTheme="majorHAnsi" w:cstheme="majorHAnsi"/>
        </w:rPr>
        <w:t xml:space="preserve"> </w:t>
      </w:r>
    </w:p>
    <w:p w:rsidR="00F74441" w:rsidRPr="002A7B5A" w:rsidP="00DB75E8" w14:paraId="71819A52" w14:textId="54564165">
      <w:pPr>
        <w:pStyle w:val="NormalWeb"/>
        <w:spacing w:before="0" w:beforeAutospacing="0" w:after="0" w:afterAutospacing="0" w:line="360" w:lineRule="auto"/>
        <w:jc w:val="both"/>
        <w:rPr>
          <w:rFonts w:asciiTheme="majorHAnsi" w:hAnsiTheme="majorHAnsi" w:cstheme="majorHAnsi"/>
        </w:rPr>
      </w:pPr>
      <w:r w:rsidRPr="002A7B5A">
        <w:rPr>
          <w:rStyle w:val="Strong"/>
          <w:rFonts w:asciiTheme="majorHAnsi" w:hAnsiTheme="majorHAnsi" w:cstheme="majorHAnsi"/>
        </w:rPr>
        <w:t>RELATOR: VEREADOR W</w:t>
      </w:r>
      <w:r w:rsidRPr="002A7B5A" w:rsidR="00EE5EAD">
        <w:rPr>
          <w:rStyle w:val="Strong"/>
          <w:rFonts w:asciiTheme="majorHAnsi" w:hAnsiTheme="majorHAnsi" w:cstheme="majorHAnsi"/>
        </w:rPr>
        <w:t>ILIANS MENDES DE OLIVEIRA</w:t>
      </w:r>
      <w:r>
        <w:rPr>
          <w:rFonts w:asciiTheme="majorHAnsi" w:hAnsiTheme="majorHAnsi" w:cstheme="majorHAnsi"/>
        </w:rPr>
        <w:pict>
          <v:rect id="_x0000_i1025" style="width:0;height:0.75pt" o:hralign="center" o:hrstd="t" o:hrnoshade="t" o:hr="t" fillcolor="#404040" stroked="f"/>
        </w:pict>
      </w:r>
      <w:r w:rsidRPr="002A7B5A">
        <w:rPr>
          <w:rStyle w:val="Strong"/>
          <w:rFonts w:asciiTheme="majorHAnsi" w:hAnsiTheme="majorHAnsi" w:cstheme="majorHAnsi"/>
          <w:bCs w:val="0"/>
        </w:rPr>
        <w:t>I - EXPOSIÇÃO DA MATÉRIA EM EXAME</w:t>
      </w:r>
    </w:p>
    <w:p w:rsidR="00AE2868" w:rsidRPr="002A7B5A" w:rsidP="00AE2868" w14:paraId="10AEF8F1" w14:textId="77777777">
      <w:pPr>
        <w:pStyle w:val="NormalWeb"/>
        <w:jc w:val="both"/>
        <w:rPr>
          <w:rFonts w:asciiTheme="majorHAnsi" w:hAnsiTheme="majorHAnsi" w:cstheme="majorHAnsi"/>
        </w:rPr>
      </w:pPr>
      <w:r w:rsidRPr="002A7B5A">
        <w:rPr>
          <w:rFonts w:asciiTheme="majorHAnsi" w:hAnsiTheme="majorHAnsi" w:cstheme="majorHAnsi"/>
        </w:rPr>
        <w:t xml:space="preserve">Trata-se do Projeto de Lei Complementar (PLC) nº </w:t>
      </w:r>
      <w:r w:rsidRPr="002A7B5A">
        <w:rPr>
          <w:rFonts w:asciiTheme="majorHAnsi" w:hAnsiTheme="majorHAnsi" w:cstheme="majorHAnsi"/>
          <w:b/>
          <w:bCs/>
        </w:rPr>
        <w:t>25/2025</w:t>
      </w:r>
      <w:r w:rsidRPr="002A7B5A">
        <w:rPr>
          <w:rFonts w:asciiTheme="majorHAnsi" w:hAnsiTheme="majorHAnsi" w:cstheme="majorHAnsi"/>
        </w:rPr>
        <w:t xml:space="preserve">, de iniciativa do </w:t>
      </w:r>
      <w:r w:rsidRPr="002A7B5A">
        <w:rPr>
          <w:rFonts w:asciiTheme="majorHAnsi" w:hAnsiTheme="majorHAnsi" w:cstheme="majorHAnsi"/>
          <w:b/>
          <w:bCs/>
        </w:rPr>
        <w:t>Poder Executivo Municipal</w:t>
      </w:r>
      <w:r w:rsidRPr="002A7B5A">
        <w:rPr>
          <w:rFonts w:asciiTheme="majorHAnsi" w:hAnsiTheme="majorHAnsi" w:cstheme="majorHAnsi"/>
        </w:rPr>
        <w:t>, que visa a alteração do inciso IV do art. 74 da Lei Complementar nº 206, de 27 de dezembro de 2006, que institui o Quadro de Pessoal e o Plano de Carreira dos servidores do Serviço Autônomo de Água e Esgotos de Mogi Mirim (</w:t>
      </w:r>
      <w:r w:rsidRPr="002A7B5A">
        <w:rPr>
          <w:rFonts w:asciiTheme="majorHAnsi" w:hAnsiTheme="majorHAnsi" w:cstheme="majorHAnsi"/>
          <w:b/>
          <w:bCs/>
        </w:rPr>
        <w:t>SAAE</w:t>
      </w:r>
      <w:r w:rsidRPr="002A7B5A">
        <w:rPr>
          <w:rFonts w:asciiTheme="majorHAnsi" w:hAnsiTheme="majorHAnsi" w:cstheme="majorHAnsi"/>
        </w:rPr>
        <w:t>).</w:t>
      </w:r>
    </w:p>
    <w:p w:rsidR="00AE2868" w:rsidRPr="002A7B5A" w:rsidP="00AE2868" w14:paraId="2390F1A5" w14:textId="77777777">
      <w:pPr>
        <w:pStyle w:val="NormalWeb"/>
        <w:jc w:val="both"/>
        <w:rPr>
          <w:rFonts w:asciiTheme="majorHAnsi" w:hAnsiTheme="majorHAnsi" w:cstheme="majorHAnsi"/>
        </w:rPr>
      </w:pPr>
      <w:r w:rsidRPr="002A7B5A">
        <w:rPr>
          <w:rFonts w:asciiTheme="majorHAnsi" w:hAnsiTheme="majorHAnsi" w:cstheme="majorHAnsi"/>
        </w:rPr>
        <w:t xml:space="preserve">A propositura tem por objeto a </w:t>
      </w:r>
      <w:r w:rsidRPr="002A7B5A">
        <w:rPr>
          <w:rFonts w:asciiTheme="majorHAnsi" w:hAnsiTheme="majorHAnsi" w:cstheme="majorHAnsi"/>
          <w:b/>
          <w:bCs/>
        </w:rPr>
        <w:t>ampliação do período da licença-paternidade</w:t>
      </w:r>
      <w:r w:rsidRPr="002A7B5A">
        <w:rPr>
          <w:rFonts w:asciiTheme="majorHAnsi" w:hAnsiTheme="majorHAnsi" w:cstheme="majorHAnsi"/>
        </w:rPr>
        <w:t xml:space="preserve"> de 5 (cinco) para </w:t>
      </w:r>
      <w:r w:rsidRPr="002A7B5A">
        <w:rPr>
          <w:rFonts w:asciiTheme="majorHAnsi" w:hAnsiTheme="majorHAnsi" w:cstheme="majorHAnsi"/>
          <w:b/>
          <w:bCs/>
        </w:rPr>
        <w:t>30 (trinta) dias consecutivos</w:t>
      </w:r>
      <w:r w:rsidRPr="002A7B5A">
        <w:rPr>
          <w:rFonts w:asciiTheme="majorHAnsi" w:hAnsiTheme="majorHAnsi" w:cstheme="majorHAnsi"/>
        </w:rPr>
        <w:t>. A Mensagem nº 066/2025 justifica a medida como um instrumento de valorização do servidor público, promoção do desenvolvimento infantil e fomento à corresponsabilidade na divisão das atribuições parentais.</w:t>
      </w:r>
    </w:p>
    <w:p w:rsidR="00AE2868" w:rsidRPr="002A7B5A" w:rsidP="00AE2868" w14:paraId="7928F9AC" w14:textId="77777777">
      <w:pPr>
        <w:pStyle w:val="NormalWeb"/>
        <w:jc w:val="both"/>
        <w:rPr>
          <w:rFonts w:asciiTheme="majorHAnsi" w:hAnsiTheme="majorHAnsi" w:cstheme="majorHAnsi"/>
        </w:rPr>
      </w:pPr>
      <w:r w:rsidRPr="002A7B5A">
        <w:rPr>
          <w:rFonts w:asciiTheme="majorHAnsi" w:hAnsiTheme="majorHAnsi" w:cstheme="majorHAnsi"/>
        </w:rPr>
        <w:t xml:space="preserve">O processo legislativo foi instruído com o </w:t>
      </w:r>
      <w:r w:rsidRPr="002A7B5A">
        <w:rPr>
          <w:rFonts w:asciiTheme="majorHAnsi" w:hAnsiTheme="majorHAnsi" w:cstheme="majorHAnsi"/>
          <w:b/>
          <w:bCs/>
        </w:rPr>
        <w:t>Parecer Jurídico</w:t>
      </w:r>
      <w:r w:rsidRPr="002A7B5A">
        <w:rPr>
          <w:rFonts w:asciiTheme="majorHAnsi" w:hAnsiTheme="majorHAnsi" w:cstheme="majorHAnsi"/>
        </w:rPr>
        <w:t xml:space="preserve"> do SAAE e a devida </w:t>
      </w:r>
      <w:r w:rsidRPr="002A7B5A">
        <w:rPr>
          <w:rFonts w:asciiTheme="majorHAnsi" w:hAnsiTheme="majorHAnsi" w:cstheme="majorHAnsi"/>
          <w:b/>
          <w:bCs/>
        </w:rPr>
        <w:t>Estimativa de Impacto Orçamentário-Financeiro</w:t>
      </w:r>
      <w:r w:rsidRPr="002A7B5A">
        <w:rPr>
          <w:rFonts w:asciiTheme="majorHAnsi" w:hAnsiTheme="majorHAnsi" w:cstheme="majorHAnsi"/>
        </w:rPr>
        <w:t>, que atesta a adequação da despesa aos ditames da Lei de Responsabilidade Fiscal (LRF), sanando a ressalva inicialmente posta.</w:t>
      </w:r>
    </w:p>
    <w:p w:rsidR="00AE2868" w:rsidRPr="002A7B5A" w:rsidP="00AE2868" w14:paraId="28C2093E" w14:textId="77777777">
      <w:pPr>
        <w:pStyle w:val="NormalWeb"/>
        <w:rPr>
          <w:rFonts w:asciiTheme="majorHAnsi" w:hAnsiTheme="majorHAnsi" w:cstheme="majorHAnsi"/>
        </w:rPr>
      </w:pPr>
      <w:r w:rsidRPr="002A7B5A">
        <w:rPr>
          <w:rFonts w:asciiTheme="majorHAnsi" w:hAnsiTheme="majorHAnsi" w:cstheme="majorHAnsi"/>
        </w:rPr>
        <w:t>O corpo do projeto se estrutura em três artigos, concentrando a alteração legislativa no primeiro deles.</w:t>
      </w:r>
    </w:p>
    <w:p w:rsidR="00AE2868" w:rsidRPr="002A7B5A" w:rsidP="00AE2868" w14:paraId="02434D05" w14:textId="27ECD555">
      <w:pPr>
        <w:pStyle w:val="NormalWeb"/>
        <w:rPr>
          <w:rFonts w:asciiTheme="majorHAnsi" w:hAnsiTheme="majorHAnsi" w:cstheme="majorHAnsi"/>
        </w:rPr>
      </w:pPr>
      <w:r w:rsidRPr="002A7B5A">
        <w:rPr>
          <w:rFonts w:asciiTheme="majorHAnsi" w:hAnsiTheme="majorHAnsi" w:cstheme="majorHAnsi"/>
        </w:rPr>
        <w:t xml:space="preserve">O </w:t>
      </w:r>
      <w:r w:rsidRPr="002A7B5A">
        <w:rPr>
          <w:rFonts w:asciiTheme="majorHAnsi" w:hAnsiTheme="majorHAnsi" w:cstheme="majorHAnsi"/>
          <w:b/>
          <w:bCs/>
        </w:rPr>
        <w:t>Art. 1º</w:t>
      </w:r>
      <w:r w:rsidRPr="002A7B5A">
        <w:rPr>
          <w:rFonts w:asciiTheme="majorHAnsi" w:hAnsiTheme="majorHAnsi" w:cstheme="majorHAnsi"/>
        </w:rPr>
        <w:t xml:space="preserve"> do PLC propõe alterar a redação do inciso IV do art. 74 da Lei Complementar nº 206/2006. A redação original previa a licença-paternidade por 5 (cinco) dias consecutivos. Com a nova redação, o dispositivo passará a vigorar com a seguinte redação: </w:t>
      </w:r>
      <w:r w:rsidRPr="002A7B5A">
        <w:rPr>
          <w:rFonts w:asciiTheme="majorHAnsi" w:hAnsiTheme="majorHAnsi" w:cstheme="majorHAnsi"/>
          <w:i/>
          <w:iCs/>
        </w:rPr>
        <w:t>"IV - licença paternidade, por 30 (trinta) dias consecutivos."</w:t>
      </w:r>
      <w:r w:rsidRPr="002A7B5A">
        <w:rPr>
          <w:rFonts w:asciiTheme="majorHAnsi" w:hAnsiTheme="majorHAnsi" w:cstheme="majorHAnsi"/>
        </w:rPr>
        <w:t xml:space="preserve"> Essa alteração é o objeto material da propositura, visando a ampliação do benefício ao servidor. O </w:t>
      </w:r>
      <w:r w:rsidRPr="002A7B5A">
        <w:rPr>
          <w:rFonts w:asciiTheme="majorHAnsi" w:hAnsiTheme="majorHAnsi" w:cstheme="majorHAnsi"/>
          <w:b/>
          <w:bCs/>
        </w:rPr>
        <w:t>Art. 2º</w:t>
      </w:r>
      <w:r w:rsidRPr="002A7B5A">
        <w:rPr>
          <w:rFonts w:asciiTheme="majorHAnsi" w:hAnsiTheme="majorHAnsi" w:cstheme="majorHAnsi"/>
        </w:rPr>
        <w:t xml:space="preserve"> é a cláusula de despesa, estabelecendo que os custos decorrentes da execução desta Lei Complementar correrão à conta de dotação orçamentária própria, admitida a suplementação, se necessário. Por fim, o </w:t>
      </w:r>
      <w:r w:rsidRPr="002A7B5A">
        <w:rPr>
          <w:rFonts w:asciiTheme="majorHAnsi" w:hAnsiTheme="majorHAnsi" w:cstheme="majorHAnsi"/>
          <w:b/>
          <w:bCs/>
        </w:rPr>
        <w:t>Art. 3º</w:t>
      </w:r>
      <w:r w:rsidRPr="002A7B5A">
        <w:rPr>
          <w:rFonts w:asciiTheme="majorHAnsi" w:hAnsiTheme="majorHAnsi" w:cstheme="majorHAnsi"/>
        </w:rPr>
        <w:t xml:space="preserve"> define a vigência da nova Lei Complementar, estipulando que a mesma entrará em vigor na data de sua publicação.</w:t>
      </w:r>
    </w:p>
    <w:p w:rsidR="00AE2868" w:rsidRPr="002A7B5A" w:rsidP="00AE2868" w14:paraId="6AEE5A15" w14:textId="77777777">
      <w:pPr>
        <w:pStyle w:val="NormalWeb"/>
        <w:rPr>
          <w:rFonts w:asciiTheme="majorHAnsi" w:hAnsiTheme="majorHAnsi" w:cstheme="majorHAnsi"/>
        </w:rPr>
      </w:pPr>
      <w:r w:rsidRPr="002A7B5A">
        <w:rPr>
          <w:rFonts w:asciiTheme="majorHAnsi" w:hAnsiTheme="majorHAnsi" w:cstheme="majorHAnsi"/>
        </w:rPr>
        <w:t xml:space="preserve">A Mensagem nº 066/2025 e os documentos anexos, incluindo o Parecer Jurídico do SAAE e a Estimativa de Impacto Orçamentário-Financeiro, compõem a instrução processual, atestando a motivação social, a legalidade da iniciativa e a adequação fiscal da medida (LRF, </w:t>
      </w:r>
      <w:r w:rsidRPr="002A7B5A">
        <w:rPr>
          <w:rFonts w:asciiTheme="majorHAnsi" w:hAnsiTheme="majorHAnsi" w:cstheme="majorHAnsi"/>
        </w:rPr>
        <w:t>arts</w:t>
      </w:r>
      <w:r w:rsidRPr="002A7B5A">
        <w:rPr>
          <w:rFonts w:asciiTheme="majorHAnsi" w:hAnsiTheme="majorHAnsi" w:cstheme="majorHAnsi"/>
        </w:rPr>
        <w:t>. 16 e 17).</w:t>
      </w:r>
    </w:p>
    <w:p w:rsidR="00AE2868" w:rsidRPr="002A7B5A" w:rsidP="00AE2868" w14:paraId="0A931459" w14:textId="33FF2296">
      <w:pPr>
        <w:pStyle w:val="NormalWeb"/>
        <w:jc w:val="both"/>
        <w:rPr>
          <w:rFonts w:asciiTheme="majorHAnsi" w:hAnsiTheme="majorHAnsi" w:cstheme="majorHAnsi"/>
        </w:rPr>
      </w:pPr>
      <w:r w:rsidRPr="002A7B5A">
        <w:rPr>
          <w:rFonts w:asciiTheme="majorHAnsi" w:hAnsiTheme="majorHAnsi" w:cstheme="majorHAnsi"/>
        </w:rPr>
        <w:t xml:space="preserve"> A matéria é submetida a esta Comissão para análise sob os aspectos da constitucionalidade, legalidade, e técnica legislativa.</w:t>
      </w:r>
    </w:p>
    <w:p w:rsidR="00F74441" w:rsidRPr="002A7B5A" w:rsidP="004A7437" w14:paraId="380FED2D" w14:textId="0A4FBBAB">
      <w:pPr>
        <w:pStyle w:val="NormalWeb"/>
        <w:jc w:val="both"/>
        <w:rPr>
          <w:rStyle w:val="Strong"/>
          <w:rFonts w:asciiTheme="majorHAnsi" w:hAnsiTheme="majorHAnsi" w:cstheme="majorHAnsi"/>
          <w:bCs w:val="0"/>
        </w:rPr>
      </w:pPr>
      <w:r w:rsidRPr="002A7B5A">
        <w:rPr>
          <w:rStyle w:val="Strong"/>
          <w:rFonts w:asciiTheme="majorHAnsi" w:hAnsiTheme="majorHAnsi" w:cstheme="majorHAnsi"/>
          <w:bCs w:val="0"/>
        </w:rPr>
        <w:t>II - CONCLUSÕES DO RELATOR</w:t>
      </w:r>
    </w:p>
    <w:p w:rsidR="002D6BB3" w:rsidRPr="002A7B5A" w:rsidP="00AE2868" w14:paraId="1FFF1B9C" w14:textId="6556E2B9">
      <w:pPr>
        <w:pStyle w:val="Heading4"/>
        <w:numPr>
          <w:ilvl w:val="0"/>
          <w:numId w:val="33"/>
        </w:numPr>
        <w:spacing w:line="360" w:lineRule="auto"/>
        <w:rPr>
          <w:rStyle w:val="Strong"/>
          <w:rFonts w:asciiTheme="majorHAnsi" w:hAnsiTheme="majorHAnsi" w:cstheme="majorHAnsi"/>
          <w:b/>
          <w:bCs w:val="0"/>
          <w:color w:val="auto"/>
        </w:rPr>
      </w:pPr>
      <w:r w:rsidRPr="002A7B5A">
        <w:rPr>
          <w:rStyle w:val="Strong"/>
          <w:rFonts w:asciiTheme="majorHAnsi" w:hAnsiTheme="majorHAnsi" w:cstheme="majorHAnsi"/>
          <w:b/>
          <w:bCs w:val="0"/>
          <w:color w:val="auto"/>
        </w:rPr>
        <w:t>Legalidade e Constitucionalidade</w:t>
      </w:r>
    </w:p>
    <w:p w:rsidR="00AE2868" w:rsidRPr="002A7B5A" w:rsidP="00AE2868" w14:paraId="20D78FE3" w14:textId="77777777">
      <w:pPr>
        <w:pStyle w:val="NormalWeb"/>
        <w:rPr>
          <w:rFonts w:asciiTheme="majorHAnsi" w:hAnsiTheme="majorHAnsi" w:cstheme="majorHAnsi"/>
        </w:rPr>
      </w:pPr>
      <w:r w:rsidRPr="002A7B5A">
        <w:rPr>
          <w:rFonts w:asciiTheme="majorHAnsi" w:hAnsiTheme="majorHAnsi" w:cstheme="majorHAnsi"/>
        </w:rPr>
        <w:t xml:space="preserve">A proposição demonstra plena </w:t>
      </w:r>
      <w:r w:rsidRPr="002A7B5A">
        <w:rPr>
          <w:rFonts w:asciiTheme="majorHAnsi" w:hAnsiTheme="majorHAnsi" w:cstheme="majorHAnsi"/>
          <w:b/>
          <w:bCs/>
        </w:rPr>
        <w:t>conformidade com o ordenamento jurídico vigente</w:t>
      </w:r>
      <w:r w:rsidRPr="002A7B5A">
        <w:rPr>
          <w:rFonts w:asciiTheme="majorHAnsi" w:hAnsiTheme="majorHAnsi" w:cstheme="majorHAnsi"/>
        </w:rPr>
        <w:t>.</w:t>
      </w:r>
    </w:p>
    <w:p w:rsidR="00AE2868" w:rsidRPr="002A7B5A" w:rsidP="00AE2868" w14:paraId="08B7B895" w14:textId="77777777">
      <w:pPr>
        <w:pStyle w:val="NormalWeb"/>
        <w:numPr>
          <w:ilvl w:val="0"/>
          <w:numId w:val="34"/>
        </w:numPr>
        <w:rPr>
          <w:rFonts w:asciiTheme="majorHAnsi" w:hAnsiTheme="majorHAnsi" w:cstheme="majorHAnsi"/>
        </w:rPr>
      </w:pPr>
      <w:r w:rsidRPr="002A7B5A">
        <w:rPr>
          <w:rFonts w:asciiTheme="majorHAnsi" w:hAnsiTheme="majorHAnsi" w:cstheme="majorHAnsi"/>
          <w:b/>
          <w:bCs/>
        </w:rPr>
        <w:t>Iniciativa:</w:t>
      </w:r>
      <w:r w:rsidRPr="002A7B5A">
        <w:rPr>
          <w:rFonts w:asciiTheme="majorHAnsi" w:hAnsiTheme="majorHAnsi" w:cstheme="majorHAnsi"/>
        </w:rPr>
        <w:t xml:space="preserve"> O projeto trata de matéria afeta ao </w:t>
      </w:r>
      <w:r w:rsidRPr="002A7B5A">
        <w:rPr>
          <w:rFonts w:asciiTheme="majorHAnsi" w:hAnsiTheme="majorHAnsi" w:cstheme="majorHAnsi"/>
          <w:b/>
          <w:bCs/>
        </w:rPr>
        <w:t>regime jurídico dos servidores públicos municipais</w:t>
      </w:r>
      <w:r w:rsidRPr="002A7B5A">
        <w:rPr>
          <w:rFonts w:asciiTheme="majorHAnsi" w:hAnsiTheme="majorHAnsi" w:cstheme="majorHAnsi"/>
        </w:rPr>
        <w:t xml:space="preserve">, cuja iniciativa é </w:t>
      </w:r>
      <w:r w:rsidRPr="002A7B5A">
        <w:rPr>
          <w:rFonts w:asciiTheme="majorHAnsi" w:hAnsiTheme="majorHAnsi" w:cstheme="majorHAnsi"/>
          <w:b/>
          <w:bCs/>
        </w:rPr>
        <w:t>privativa do Chefe do Poder Executivo</w:t>
      </w:r>
      <w:r w:rsidRPr="002A7B5A">
        <w:rPr>
          <w:rFonts w:asciiTheme="majorHAnsi" w:hAnsiTheme="majorHAnsi" w:cstheme="majorHAnsi"/>
        </w:rPr>
        <w:t>, em consonância com o princípio da simetria constitucional (CF, art. 61, § 1º, II, 'c').</w:t>
      </w:r>
    </w:p>
    <w:p w:rsidR="00AE2868" w:rsidRPr="002A7B5A" w:rsidP="00AE2868" w14:paraId="0B30D9B0" w14:textId="77777777">
      <w:pPr>
        <w:pStyle w:val="NormalWeb"/>
        <w:numPr>
          <w:ilvl w:val="0"/>
          <w:numId w:val="34"/>
        </w:numPr>
        <w:rPr>
          <w:rFonts w:asciiTheme="majorHAnsi" w:hAnsiTheme="majorHAnsi" w:cstheme="majorHAnsi"/>
        </w:rPr>
      </w:pPr>
      <w:r w:rsidRPr="002A7B5A">
        <w:rPr>
          <w:rFonts w:asciiTheme="majorHAnsi" w:hAnsiTheme="majorHAnsi" w:cstheme="majorHAnsi"/>
          <w:b/>
          <w:bCs/>
        </w:rPr>
        <w:t>Competência Material:</w:t>
      </w:r>
      <w:r w:rsidRPr="002A7B5A">
        <w:rPr>
          <w:rFonts w:asciiTheme="majorHAnsi" w:hAnsiTheme="majorHAnsi" w:cstheme="majorHAnsi"/>
        </w:rPr>
        <w:t xml:space="preserve"> O Município exerce sua </w:t>
      </w:r>
      <w:r w:rsidRPr="002A7B5A">
        <w:rPr>
          <w:rFonts w:asciiTheme="majorHAnsi" w:hAnsiTheme="majorHAnsi" w:cstheme="majorHAnsi"/>
          <w:b/>
          <w:bCs/>
        </w:rPr>
        <w:t>competência privativa</w:t>
      </w:r>
      <w:r w:rsidRPr="002A7B5A">
        <w:rPr>
          <w:rFonts w:asciiTheme="majorHAnsi" w:hAnsiTheme="majorHAnsi" w:cstheme="majorHAnsi"/>
        </w:rPr>
        <w:t xml:space="preserve"> (Lei Orgânica Municipal, art. 12, I) ao legislar sobre o regime de seus servidores e sua </w:t>
      </w:r>
      <w:r w:rsidRPr="002A7B5A">
        <w:rPr>
          <w:rFonts w:asciiTheme="majorHAnsi" w:hAnsiTheme="majorHAnsi" w:cstheme="majorHAnsi"/>
          <w:b/>
          <w:bCs/>
        </w:rPr>
        <w:t>competência suplementar</w:t>
      </w:r>
      <w:r w:rsidRPr="002A7B5A">
        <w:rPr>
          <w:rFonts w:asciiTheme="majorHAnsi" w:hAnsiTheme="majorHAnsi" w:cstheme="majorHAnsi"/>
        </w:rPr>
        <w:t xml:space="preserve"> (CF, art. 30, II) ao expandir um direito social. A licença-paternidade, garantida pela Constituição Federal (art. 7º, XIX), tem o prazo mínimo de 5 (cinco) dias fixado no ADCT (art. 10, § 1º), permitindo, contudo, que a legislação infraconstitucional municipal amplie esse benefício, caracterizando-se como um </w:t>
      </w:r>
      <w:r w:rsidRPr="002A7B5A">
        <w:rPr>
          <w:rFonts w:asciiTheme="majorHAnsi" w:hAnsiTheme="majorHAnsi" w:cstheme="majorHAnsi"/>
          <w:b/>
          <w:bCs/>
        </w:rPr>
        <w:t>direito social progressivo</w:t>
      </w:r>
      <w:r w:rsidRPr="002A7B5A">
        <w:rPr>
          <w:rFonts w:asciiTheme="majorHAnsi" w:hAnsiTheme="majorHAnsi" w:cstheme="majorHAnsi"/>
        </w:rPr>
        <w:t>.</w:t>
      </w:r>
    </w:p>
    <w:p w:rsidR="00AE2868" w:rsidRPr="002A7B5A" w:rsidP="00AE2868" w14:paraId="6C1BF932" w14:textId="77777777">
      <w:pPr>
        <w:pStyle w:val="NormalWeb"/>
        <w:numPr>
          <w:ilvl w:val="0"/>
          <w:numId w:val="34"/>
        </w:numPr>
        <w:rPr>
          <w:rFonts w:asciiTheme="majorHAnsi" w:hAnsiTheme="majorHAnsi" w:cstheme="majorHAnsi"/>
        </w:rPr>
      </w:pPr>
      <w:r w:rsidRPr="002A7B5A">
        <w:rPr>
          <w:rFonts w:asciiTheme="majorHAnsi" w:hAnsiTheme="majorHAnsi" w:cstheme="majorHAnsi"/>
          <w:b/>
          <w:bCs/>
        </w:rPr>
        <w:t>Responsabilidade Fiscal:</w:t>
      </w:r>
      <w:r w:rsidRPr="002A7B5A">
        <w:rPr>
          <w:rFonts w:asciiTheme="majorHAnsi" w:hAnsiTheme="majorHAnsi" w:cstheme="majorHAnsi"/>
        </w:rPr>
        <w:t xml:space="preserve"> O atendimento aos preceitos da Lei de Responsabilidade Fiscal (LRF), notadamente os </w:t>
      </w:r>
      <w:r w:rsidRPr="002A7B5A">
        <w:rPr>
          <w:rFonts w:asciiTheme="majorHAnsi" w:hAnsiTheme="majorHAnsi" w:cstheme="majorHAnsi"/>
        </w:rPr>
        <w:t>arts</w:t>
      </w:r>
      <w:r w:rsidRPr="002A7B5A">
        <w:rPr>
          <w:rFonts w:asciiTheme="majorHAnsi" w:hAnsiTheme="majorHAnsi" w:cstheme="majorHAnsi"/>
        </w:rPr>
        <w:t xml:space="preserve">. 16 e 17, foi comprovado pela </w:t>
      </w:r>
      <w:r w:rsidRPr="002A7B5A">
        <w:rPr>
          <w:rFonts w:asciiTheme="majorHAnsi" w:hAnsiTheme="majorHAnsi" w:cstheme="majorHAnsi"/>
          <w:b/>
          <w:bCs/>
        </w:rPr>
        <w:t>Estimativa de Impacto Orçamentário-Financeiro</w:t>
      </w:r>
      <w:r w:rsidRPr="002A7B5A">
        <w:rPr>
          <w:rFonts w:asciiTheme="majorHAnsi" w:hAnsiTheme="majorHAnsi" w:cstheme="majorHAnsi"/>
        </w:rPr>
        <w:t xml:space="preserve">. O documento demonstra que o aumento da despesa tem impacto percentual mínimo (0,0001% da Receita) e que há compatibilidade e previsão de suporte de caixa, o que confere a </w:t>
      </w:r>
      <w:r w:rsidRPr="002A7B5A">
        <w:rPr>
          <w:rFonts w:asciiTheme="majorHAnsi" w:hAnsiTheme="majorHAnsi" w:cstheme="majorHAnsi"/>
          <w:b/>
          <w:bCs/>
        </w:rPr>
        <w:t>regularidade fiscal</w:t>
      </w:r>
      <w:r w:rsidRPr="002A7B5A">
        <w:rPr>
          <w:rFonts w:asciiTheme="majorHAnsi" w:hAnsiTheme="majorHAnsi" w:cstheme="majorHAnsi"/>
        </w:rPr>
        <w:t xml:space="preserve"> ao projeto.</w:t>
      </w:r>
    </w:p>
    <w:p w:rsidR="00AE2868" w:rsidRPr="002A7B5A" w:rsidP="00AE2868" w14:paraId="0833DF37" w14:textId="77777777">
      <w:pPr>
        <w:pStyle w:val="NormalWeb"/>
        <w:numPr>
          <w:ilvl w:val="0"/>
          <w:numId w:val="34"/>
        </w:numPr>
        <w:rPr>
          <w:rFonts w:asciiTheme="majorHAnsi" w:hAnsiTheme="majorHAnsi" w:cstheme="majorHAnsi"/>
        </w:rPr>
      </w:pPr>
      <w:r w:rsidRPr="002A7B5A">
        <w:rPr>
          <w:rFonts w:asciiTheme="majorHAnsi" w:hAnsiTheme="majorHAnsi" w:cstheme="majorHAnsi"/>
          <w:b/>
          <w:bCs/>
        </w:rPr>
        <w:t>Técnica Legislativa:</w:t>
      </w:r>
      <w:r w:rsidRPr="002A7B5A">
        <w:rPr>
          <w:rFonts w:asciiTheme="majorHAnsi" w:hAnsiTheme="majorHAnsi" w:cstheme="majorHAnsi"/>
        </w:rPr>
        <w:t xml:space="preserve"> A técnica de alteração do </w:t>
      </w:r>
      <w:r w:rsidRPr="002A7B5A">
        <w:rPr>
          <w:rFonts w:asciiTheme="majorHAnsi" w:hAnsiTheme="majorHAnsi" w:cstheme="majorHAnsi"/>
          <w:i/>
          <w:iCs/>
        </w:rPr>
        <w:t>caput</w:t>
      </w:r>
      <w:r w:rsidRPr="002A7B5A">
        <w:rPr>
          <w:rFonts w:asciiTheme="majorHAnsi" w:hAnsiTheme="majorHAnsi" w:cstheme="majorHAnsi"/>
        </w:rPr>
        <w:t xml:space="preserve"> do inciso IV do art. 74 da Lei Complementar nº 206/2006, tal como proposta, está em conformidade com as normas federais e regimentais.</w:t>
      </w:r>
    </w:p>
    <w:p w:rsidR="00AE2868" w:rsidRPr="002A7B5A" w:rsidP="00AE2868" w14:paraId="3E051DD9" w14:textId="77777777">
      <w:pPr>
        <w:rPr>
          <w:rFonts w:asciiTheme="majorHAnsi" w:hAnsiTheme="majorHAnsi" w:cstheme="majorHAnsi"/>
          <w:sz w:val="24"/>
          <w:szCs w:val="24"/>
        </w:rPr>
      </w:pPr>
    </w:p>
    <w:p w:rsidR="00DB75E8" w:rsidRPr="002A7B5A" w:rsidP="0095299D" w14:paraId="01DD54F2" w14:textId="4AB4D730">
      <w:pPr>
        <w:pStyle w:val="NormalWeb"/>
        <w:numPr>
          <w:ilvl w:val="0"/>
          <w:numId w:val="33"/>
        </w:numPr>
        <w:jc w:val="both"/>
        <w:rPr>
          <w:rStyle w:val="Strong"/>
          <w:rFonts w:asciiTheme="majorHAnsi" w:hAnsiTheme="majorHAnsi" w:cstheme="majorHAnsi"/>
          <w:bCs w:val="0"/>
        </w:rPr>
      </w:pPr>
      <w:r w:rsidRPr="002A7B5A">
        <w:rPr>
          <w:rStyle w:val="Strong"/>
          <w:rFonts w:asciiTheme="majorHAnsi" w:hAnsiTheme="majorHAnsi" w:cstheme="majorHAnsi"/>
          <w:bCs w:val="0"/>
        </w:rPr>
        <w:t>Conveniência e Oportunidade</w:t>
      </w:r>
    </w:p>
    <w:p w:rsidR="0095299D" w:rsidRPr="002A7B5A" w:rsidP="0095299D" w14:paraId="589B0D05" w14:textId="09DC1784">
      <w:pPr>
        <w:pStyle w:val="NormalWeb"/>
        <w:ind w:left="720"/>
        <w:jc w:val="both"/>
        <w:rPr>
          <w:rStyle w:val="Strong"/>
          <w:rFonts w:asciiTheme="majorHAnsi" w:hAnsiTheme="majorHAnsi" w:cstheme="majorHAnsi"/>
          <w:bCs w:val="0"/>
        </w:rPr>
      </w:pPr>
      <w:r w:rsidRPr="002A7B5A">
        <w:rPr>
          <w:rFonts w:asciiTheme="majorHAnsi" w:hAnsiTheme="majorHAnsi" w:cstheme="majorHAnsi"/>
        </w:rPr>
        <w:t xml:space="preserve">A medida é socialmente </w:t>
      </w:r>
      <w:r w:rsidRPr="002A7B5A">
        <w:rPr>
          <w:rFonts w:asciiTheme="majorHAnsi" w:hAnsiTheme="majorHAnsi" w:cstheme="majorHAnsi"/>
          <w:b/>
          <w:bCs/>
        </w:rPr>
        <w:t>conveniente</w:t>
      </w:r>
      <w:r w:rsidRPr="002A7B5A">
        <w:rPr>
          <w:rFonts w:asciiTheme="majorHAnsi" w:hAnsiTheme="majorHAnsi" w:cstheme="majorHAnsi"/>
        </w:rPr>
        <w:t xml:space="preserve"> e </w:t>
      </w:r>
      <w:r w:rsidRPr="002A7B5A">
        <w:rPr>
          <w:rFonts w:asciiTheme="majorHAnsi" w:hAnsiTheme="majorHAnsi" w:cstheme="majorHAnsi"/>
          <w:b/>
          <w:bCs/>
        </w:rPr>
        <w:t>oportuna</w:t>
      </w:r>
      <w:r w:rsidRPr="002A7B5A">
        <w:rPr>
          <w:rFonts w:asciiTheme="majorHAnsi" w:hAnsiTheme="majorHAnsi" w:cstheme="majorHAnsi"/>
        </w:rPr>
        <w:t xml:space="preserve">. A ampliação da licença-paternidade para 30 (trinta) dias é um avanço significativo que materializa o princípio da </w:t>
      </w:r>
      <w:r w:rsidRPr="002A7B5A">
        <w:rPr>
          <w:rFonts w:asciiTheme="majorHAnsi" w:hAnsiTheme="majorHAnsi" w:cstheme="majorHAnsi"/>
          <w:b/>
          <w:bCs/>
        </w:rPr>
        <w:t>dignidade da pessoa humana</w:t>
      </w:r>
      <w:r w:rsidRPr="002A7B5A">
        <w:rPr>
          <w:rFonts w:asciiTheme="majorHAnsi" w:hAnsiTheme="majorHAnsi" w:cstheme="majorHAnsi"/>
        </w:rPr>
        <w:t xml:space="preserve"> (CF, art. 1º, III) e assegura o apoio familiar necessário no período pós-natal. A iniciativa alinha o Município às melhores práticas de gestão de pessoas e de proteção à infância, valorizando o servidor e fortalecendo os laços familiares, fatores que justificam plenamente a sua aprovação.</w:t>
      </w:r>
    </w:p>
    <w:p w:rsidR="00B13198" w:rsidRPr="002A7B5A" w:rsidP="00163F50" w14:paraId="69A83724" w14:textId="77777777">
      <w:pPr>
        <w:pStyle w:val="NormalWeb"/>
        <w:spacing w:before="0" w:beforeAutospacing="0" w:after="0" w:afterAutospacing="0"/>
        <w:jc w:val="both"/>
        <w:rPr>
          <w:rFonts w:asciiTheme="majorHAnsi" w:hAnsiTheme="majorHAnsi" w:cstheme="majorHAnsi"/>
          <w:b/>
        </w:rPr>
      </w:pPr>
    </w:p>
    <w:p w:rsidR="00C829EC" w:rsidRPr="002A7B5A" w:rsidP="00163F50" w14:paraId="68CF256F" w14:textId="2DB206C6">
      <w:pPr>
        <w:pStyle w:val="NormalWeb"/>
        <w:spacing w:before="0" w:beforeAutospacing="0" w:after="0" w:afterAutospacing="0"/>
        <w:jc w:val="both"/>
        <w:rPr>
          <w:rFonts w:asciiTheme="majorHAnsi" w:hAnsiTheme="majorHAnsi" w:cstheme="majorHAnsi"/>
        </w:rPr>
      </w:pPr>
      <w:r w:rsidRPr="002A7B5A">
        <w:rPr>
          <w:rFonts w:asciiTheme="majorHAnsi" w:hAnsiTheme="majorHAnsi" w:cstheme="majorHAnsi"/>
          <w:b/>
        </w:rPr>
        <w:t>III -</w:t>
      </w:r>
      <w:r w:rsidRPr="002A7B5A">
        <w:rPr>
          <w:rFonts w:asciiTheme="majorHAnsi" w:hAnsiTheme="majorHAnsi" w:cstheme="majorHAnsi"/>
        </w:rPr>
        <w:t xml:space="preserve"> </w:t>
      </w:r>
      <w:r w:rsidRPr="002A7B5A">
        <w:rPr>
          <w:rFonts w:asciiTheme="majorHAnsi" w:hAnsiTheme="majorHAnsi" w:cstheme="majorHAnsi"/>
          <w:b/>
          <w:bCs/>
        </w:rPr>
        <w:t>OFERECIMENTO DE SUBSTITUTIVO, EMENDAS OU SUBEMENDAS</w:t>
      </w:r>
      <w:r w:rsidRPr="002A7B5A">
        <w:rPr>
          <w:rFonts w:asciiTheme="majorHAnsi" w:hAnsiTheme="majorHAnsi" w:cstheme="majorHAnsi"/>
        </w:rPr>
        <w:t xml:space="preserve"> </w:t>
      </w:r>
    </w:p>
    <w:p w:rsidR="0095299D" w:rsidRPr="002A7B5A" w:rsidP="00163F50" w14:paraId="2AEC3B62" w14:textId="77777777">
      <w:pPr>
        <w:pStyle w:val="NormalWeb"/>
        <w:spacing w:before="0" w:beforeAutospacing="0" w:after="0" w:afterAutospacing="0"/>
        <w:jc w:val="both"/>
        <w:rPr>
          <w:rFonts w:asciiTheme="majorHAnsi" w:hAnsiTheme="majorHAnsi" w:cstheme="majorHAnsi"/>
        </w:rPr>
      </w:pPr>
    </w:p>
    <w:p w:rsidR="00C829EC" w:rsidRPr="002A7B5A" w:rsidP="00163F50" w14:paraId="2BE77062" w14:textId="7FA2FDB6">
      <w:pPr>
        <w:jc w:val="both"/>
        <w:rPr>
          <w:rFonts w:asciiTheme="majorHAnsi" w:hAnsiTheme="majorHAnsi" w:cstheme="majorHAnsi"/>
          <w:sz w:val="24"/>
          <w:szCs w:val="24"/>
        </w:rPr>
      </w:pPr>
      <w:r w:rsidRPr="002A7B5A">
        <w:rPr>
          <w:rFonts w:asciiTheme="majorHAnsi" w:hAnsiTheme="majorHAnsi" w:cstheme="majorHAnsi"/>
          <w:sz w:val="24"/>
          <w:szCs w:val="24"/>
        </w:rPr>
        <w:t xml:space="preserve">Considerando que o texto do Projeto de Lei Complementar nº </w:t>
      </w:r>
      <w:r w:rsidRPr="002A7B5A">
        <w:rPr>
          <w:rFonts w:asciiTheme="majorHAnsi" w:hAnsiTheme="majorHAnsi" w:cstheme="majorHAnsi"/>
          <w:b/>
          <w:bCs/>
          <w:sz w:val="24"/>
          <w:szCs w:val="24"/>
        </w:rPr>
        <w:t>25/2025</w:t>
      </w:r>
      <w:r w:rsidRPr="002A7B5A">
        <w:rPr>
          <w:rFonts w:asciiTheme="majorHAnsi" w:hAnsiTheme="majorHAnsi" w:cstheme="majorHAnsi"/>
          <w:sz w:val="24"/>
          <w:szCs w:val="24"/>
        </w:rPr>
        <w:t xml:space="preserve"> atende integralmente ao objetivo proposto e não apresenta falhas jurídicas ou técnicas que necessitem de correção, </w:t>
      </w:r>
      <w:r w:rsidRPr="002A7B5A">
        <w:rPr>
          <w:rFonts w:asciiTheme="majorHAnsi" w:hAnsiTheme="majorHAnsi" w:cstheme="majorHAnsi"/>
          <w:b/>
          <w:bCs/>
          <w:sz w:val="24"/>
          <w:szCs w:val="24"/>
        </w:rPr>
        <w:t>não há necessidade de apresentação de Substitutivo, Emendas ou Subemendas</w:t>
      </w:r>
      <w:r w:rsidRPr="002A7B5A">
        <w:rPr>
          <w:rFonts w:asciiTheme="majorHAnsi" w:hAnsiTheme="majorHAnsi" w:cstheme="majorHAnsi"/>
          <w:sz w:val="24"/>
          <w:szCs w:val="24"/>
        </w:rPr>
        <w:t>.</w:t>
      </w:r>
    </w:p>
    <w:p w:rsidR="00EC6DE7" w:rsidRPr="002A7B5A" w:rsidP="00163F50" w14:paraId="5A6920DE" w14:textId="77777777">
      <w:pPr>
        <w:jc w:val="both"/>
        <w:rPr>
          <w:rFonts w:asciiTheme="majorHAnsi" w:hAnsiTheme="majorHAnsi" w:cstheme="majorHAnsi"/>
          <w:sz w:val="24"/>
          <w:szCs w:val="24"/>
        </w:rPr>
      </w:pPr>
    </w:p>
    <w:p w:rsidR="0095299D" w:rsidRPr="002A7B5A" w:rsidP="00163F50" w14:paraId="34CBB842" w14:textId="77777777">
      <w:pPr>
        <w:jc w:val="both"/>
        <w:rPr>
          <w:rFonts w:asciiTheme="majorHAnsi" w:hAnsiTheme="majorHAnsi" w:cstheme="majorHAnsi"/>
          <w:sz w:val="24"/>
          <w:szCs w:val="24"/>
        </w:rPr>
      </w:pPr>
    </w:p>
    <w:p w:rsidR="00C829EC" w:rsidRPr="002A7B5A" w:rsidP="00163F50" w14:paraId="26D3B4E4" w14:textId="1033B774">
      <w:pPr>
        <w:pStyle w:val="NormalWeb"/>
        <w:spacing w:before="0" w:beforeAutospacing="0" w:after="0" w:afterAutospacing="0"/>
        <w:jc w:val="both"/>
        <w:rPr>
          <w:rFonts w:asciiTheme="majorHAnsi" w:hAnsiTheme="majorHAnsi" w:cstheme="majorHAnsi"/>
          <w:b/>
          <w:bCs/>
        </w:rPr>
      </w:pPr>
      <w:r w:rsidRPr="002A7B5A">
        <w:rPr>
          <w:rFonts w:asciiTheme="majorHAnsi" w:hAnsiTheme="majorHAnsi" w:cstheme="majorHAnsi"/>
          <w:b/>
          <w:bCs/>
        </w:rPr>
        <w:t>IV -  DECISÃO D</w:t>
      </w:r>
      <w:r w:rsidRPr="002A7B5A" w:rsidR="004A7437">
        <w:rPr>
          <w:rFonts w:asciiTheme="majorHAnsi" w:hAnsiTheme="majorHAnsi" w:cstheme="majorHAnsi"/>
          <w:b/>
          <w:bCs/>
        </w:rPr>
        <w:t>A COMISSÃO</w:t>
      </w:r>
    </w:p>
    <w:p w:rsidR="00A81939" w:rsidRPr="002A7B5A" w:rsidP="00163F50" w14:paraId="32B21955" w14:textId="77777777">
      <w:pPr>
        <w:pStyle w:val="NormalWeb"/>
        <w:spacing w:before="0" w:beforeAutospacing="0" w:after="0" w:afterAutospacing="0"/>
        <w:jc w:val="both"/>
        <w:rPr>
          <w:rFonts w:asciiTheme="majorHAnsi" w:hAnsiTheme="majorHAnsi" w:cstheme="majorHAnsi"/>
        </w:rPr>
      </w:pPr>
    </w:p>
    <w:p w:rsidR="00A81939" w:rsidRPr="002A7B5A" w:rsidP="00A81939" w14:paraId="4041C126" w14:textId="7208E5E9">
      <w:pPr>
        <w:pStyle w:val="NormalWeb"/>
        <w:spacing w:before="0" w:beforeAutospacing="0" w:after="0" w:afterAutospacing="0"/>
        <w:jc w:val="both"/>
        <w:rPr>
          <w:rFonts w:asciiTheme="majorHAnsi" w:hAnsiTheme="majorHAnsi" w:cstheme="majorHAnsi"/>
        </w:rPr>
      </w:pPr>
      <w:r w:rsidRPr="002A7B5A">
        <w:rPr>
          <w:rFonts w:asciiTheme="majorHAnsi" w:hAnsiTheme="majorHAnsi" w:cstheme="majorHAnsi"/>
        </w:rPr>
        <w:t>A Comissão de Justiça e Redação, por unanimidade, </w:t>
      </w:r>
      <w:r w:rsidRPr="002A7B5A">
        <w:rPr>
          <w:rStyle w:val="Strong"/>
          <w:rFonts w:asciiTheme="majorHAnsi" w:hAnsiTheme="majorHAnsi" w:cstheme="majorHAnsi"/>
        </w:rPr>
        <w:t>aprova</w:t>
      </w:r>
      <w:r w:rsidRPr="002A7B5A">
        <w:rPr>
          <w:rFonts w:asciiTheme="majorHAnsi" w:hAnsiTheme="majorHAnsi" w:cstheme="majorHAnsi"/>
        </w:rPr>
        <w:t> o Projeto de Lei Complementar nº 24 de 2025, </w:t>
      </w:r>
      <w:r w:rsidRPr="002A7B5A">
        <w:rPr>
          <w:rStyle w:val="Strong"/>
          <w:rFonts w:asciiTheme="majorHAnsi" w:hAnsiTheme="majorHAnsi" w:cstheme="majorHAnsi"/>
        </w:rPr>
        <w:t>sem emendas</w:t>
      </w:r>
      <w:r w:rsidRPr="002A7B5A">
        <w:rPr>
          <w:rFonts w:asciiTheme="majorHAnsi" w:hAnsiTheme="majorHAnsi" w:cstheme="majorHAnsi"/>
        </w:rPr>
        <w:t>, considerando-o </w:t>
      </w:r>
      <w:r w:rsidRPr="002A7B5A">
        <w:rPr>
          <w:rStyle w:val="Strong"/>
          <w:rFonts w:asciiTheme="majorHAnsi" w:hAnsiTheme="majorHAnsi" w:cstheme="majorHAnsi"/>
        </w:rPr>
        <w:t>legal, constitucional e conveniente.</w:t>
      </w:r>
    </w:p>
    <w:p w:rsidR="00C829EC" w:rsidRPr="002A7B5A" w:rsidP="00A81939" w14:paraId="04CD94E6" w14:textId="748B0AD2">
      <w:pPr>
        <w:pStyle w:val="NormalWeb"/>
        <w:spacing w:before="0" w:beforeAutospacing="0" w:after="0" w:afterAutospacing="0"/>
        <w:jc w:val="both"/>
        <w:rPr>
          <w:rFonts w:asciiTheme="majorHAnsi" w:hAnsiTheme="majorHAnsi" w:cstheme="majorHAnsi"/>
        </w:rPr>
      </w:pPr>
      <w:r w:rsidRPr="002A7B5A">
        <w:rPr>
          <w:rFonts w:asciiTheme="majorHAnsi" w:hAnsiTheme="majorHAnsi" w:cstheme="majorHAnsi"/>
        </w:rPr>
        <w:t xml:space="preserve"> </w:t>
      </w:r>
    </w:p>
    <w:p w:rsidR="00105B00" w:rsidRPr="002A7B5A" w:rsidP="00105B00" w14:paraId="636E05C0" w14:textId="24B2869B">
      <w:pPr>
        <w:pStyle w:val="NormalWeb"/>
        <w:spacing w:line="360" w:lineRule="auto"/>
        <w:jc w:val="center"/>
        <w:rPr>
          <w:rStyle w:val="Strong"/>
          <w:rFonts w:asciiTheme="majorHAnsi" w:hAnsiTheme="majorHAnsi" w:cstheme="majorHAnsi"/>
        </w:rPr>
      </w:pPr>
      <w:r w:rsidRPr="002A7B5A">
        <w:rPr>
          <w:rStyle w:val="Strong"/>
          <w:rFonts w:asciiTheme="majorHAnsi" w:hAnsiTheme="majorHAnsi" w:cstheme="majorHAnsi"/>
        </w:rPr>
        <w:t>SALA DAS SESSÕES</w:t>
      </w:r>
      <w:r w:rsidRPr="002A7B5A" w:rsidR="00B61EE5">
        <w:rPr>
          <w:rStyle w:val="Strong"/>
          <w:rFonts w:asciiTheme="majorHAnsi" w:hAnsiTheme="majorHAnsi" w:cstheme="majorHAnsi"/>
        </w:rPr>
        <w:t xml:space="preserve"> “VEREADOR SANTO RÓT</w:t>
      </w:r>
      <w:r w:rsidRPr="002A7B5A" w:rsidR="00EC6DE7">
        <w:rPr>
          <w:rStyle w:val="Strong"/>
          <w:rFonts w:asciiTheme="majorHAnsi" w:hAnsiTheme="majorHAnsi" w:cstheme="majorHAnsi"/>
        </w:rPr>
        <w:t>TOLI”, em 12 de novembro</w:t>
      </w:r>
      <w:r w:rsidRPr="002A7B5A">
        <w:rPr>
          <w:rStyle w:val="Strong"/>
          <w:rFonts w:asciiTheme="majorHAnsi" w:hAnsiTheme="majorHAnsi" w:cstheme="majorHAnsi"/>
        </w:rPr>
        <w:t xml:space="preserve"> de 2025.</w:t>
      </w:r>
    </w:p>
    <w:p w:rsidR="005B6271" w:rsidRPr="002A7B5A" w:rsidP="005B6271" w14:paraId="3E2245FE" w14:textId="49CF652F">
      <w:pPr>
        <w:jc w:val="center"/>
        <w:rPr>
          <w:rFonts w:asciiTheme="majorHAnsi" w:hAnsiTheme="majorHAnsi" w:cstheme="majorHAnsi"/>
          <w:b/>
          <w:iCs/>
          <w:sz w:val="24"/>
          <w:szCs w:val="24"/>
        </w:rPr>
      </w:pPr>
      <w:r w:rsidRPr="002A7B5A">
        <w:rPr>
          <w:rFonts w:asciiTheme="majorHAnsi" w:hAnsiTheme="majorHAnsi" w:cstheme="majorHAnsi"/>
          <w:b/>
          <w:iCs/>
          <w:sz w:val="24"/>
          <w:szCs w:val="24"/>
        </w:rPr>
        <w:t xml:space="preserve">Vereador Wilians Mendes de Oliveira </w:t>
      </w:r>
    </w:p>
    <w:p w:rsidR="005B6271" w:rsidRPr="002A7B5A" w:rsidP="005B6271" w14:paraId="43E3F9FD" w14:textId="77777777">
      <w:pPr>
        <w:jc w:val="center"/>
        <w:rPr>
          <w:rFonts w:eastAsia="Arial" w:asciiTheme="majorHAnsi" w:hAnsiTheme="majorHAnsi" w:cstheme="majorHAnsi"/>
          <w:i/>
          <w:iCs/>
          <w:sz w:val="24"/>
          <w:szCs w:val="24"/>
        </w:rPr>
      </w:pPr>
      <w:r w:rsidRPr="002A7B5A">
        <w:rPr>
          <w:rFonts w:eastAsia="Arial" w:asciiTheme="majorHAnsi" w:hAnsiTheme="majorHAnsi" w:cstheme="majorHAnsi"/>
          <w:i/>
          <w:iCs/>
          <w:sz w:val="24"/>
          <w:szCs w:val="24"/>
        </w:rPr>
        <w:t xml:space="preserve">Membro da Comissão/Relator </w:t>
      </w:r>
    </w:p>
    <w:p w:rsidR="005B6271" w:rsidRPr="002A7B5A" w:rsidP="005B6271" w14:paraId="1BFA3B26" w14:textId="77777777">
      <w:pPr>
        <w:pStyle w:val="BodyText"/>
        <w:spacing w:line="240" w:lineRule="auto"/>
        <w:rPr>
          <w:rFonts w:asciiTheme="majorHAnsi" w:hAnsiTheme="majorHAnsi" w:cstheme="majorHAnsi"/>
          <w:b/>
          <w:color w:val="000000"/>
          <w:sz w:val="24"/>
          <w:szCs w:val="24"/>
          <w:u w:val="single"/>
        </w:rPr>
      </w:pPr>
    </w:p>
    <w:p w:rsidR="00EC6DE7" w:rsidRPr="002A7B5A" w:rsidP="00EC6DE7" w14:paraId="2EF023ED" w14:textId="77777777">
      <w:pPr>
        <w:pStyle w:val="Heading3"/>
        <w:rPr>
          <w:rFonts w:asciiTheme="majorHAnsi" w:hAnsiTheme="majorHAnsi" w:cstheme="majorHAnsi"/>
          <w:sz w:val="24"/>
          <w:szCs w:val="24"/>
        </w:rPr>
      </w:pPr>
      <w:r w:rsidRPr="002A7B5A">
        <w:rPr>
          <w:rFonts w:asciiTheme="majorHAnsi" w:hAnsiTheme="majorHAnsi" w:cstheme="majorHAnsi"/>
          <w:sz w:val="24"/>
          <w:szCs w:val="24"/>
        </w:rPr>
        <w:t>Referências Bibliográficas</w:t>
      </w:r>
    </w:p>
    <w:p w:rsidR="00EC6DE7" w:rsidRPr="002A7B5A" w:rsidP="00EC6DE7" w14:paraId="4D9F0F3E" w14:textId="77777777">
      <w:pPr>
        <w:pStyle w:val="NormalWeb"/>
        <w:numPr>
          <w:ilvl w:val="0"/>
          <w:numId w:val="35"/>
        </w:numPr>
        <w:rPr>
          <w:rFonts w:asciiTheme="majorHAnsi" w:hAnsiTheme="majorHAnsi" w:cstheme="majorHAnsi"/>
        </w:rPr>
      </w:pPr>
      <w:r w:rsidRPr="002A7B5A">
        <w:rPr>
          <w:rFonts w:asciiTheme="majorHAnsi" w:hAnsiTheme="majorHAnsi" w:cstheme="majorHAnsi"/>
          <w:b/>
          <w:bCs/>
        </w:rPr>
        <w:t>BRASIL.</w:t>
      </w:r>
      <w:r w:rsidRPr="002A7B5A">
        <w:rPr>
          <w:rFonts w:asciiTheme="majorHAnsi" w:hAnsiTheme="majorHAnsi" w:cstheme="majorHAnsi"/>
        </w:rPr>
        <w:t xml:space="preserve"> Constituição da República Federativa do Brasil de 1988. Brasília, DF: Presidência da República, 1988.</w:t>
      </w:r>
    </w:p>
    <w:p w:rsidR="00EC6DE7" w:rsidRPr="002A7B5A" w:rsidP="00EC6DE7" w14:paraId="6A1896B0" w14:textId="77777777">
      <w:pPr>
        <w:pStyle w:val="NormalWeb"/>
        <w:numPr>
          <w:ilvl w:val="0"/>
          <w:numId w:val="35"/>
        </w:numPr>
        <w:rPr>
          <w:rFonts w:asciiTheme="majorHAnsi" w:hAnsiTheme="majorHAnsi" w:cstheme="majorHAnsi"/>
        </w:rPr>
      </w:pPr>
      <w:r w:rsidRPr="002A7B5A">
        <w:rPr>
          <w:rFonts w:asciiTheme="majorHAnsi" w:hAnsiTheme="majorHAnsi" w:cstheme="majorHAnsi"/>
          <w:b/>
          <w:bCs/>
        </w:rPr>
        <w:t>BRASIL.</w:t>
      </w:r>
      <w:r w:rsidRPr="002A7B5A">
        <w:rPr>
          <w:rFonts w:asciiTheme="majorHAnsi" w:hAnsiTheme="majorHAnsi" w:cstheme="majorHAnsi"/>
        </w:rPr>
        <w:t xml:space="preserve"> Ato das Disposições Constitucionais Transitórias (ADCT). [Anexo à Constituição Federal de 1988].</w:t>
      </w:r>
    </w:p>
    <w:p w:rsidR="00EC6DE7" w:rsidRPr="002A7B5A" w:rsidP="00EC6DE7" w14:paraId="4C59BD9F" w14:textId="77777777">
      <w:pPr>
        <w:pStyle w:val="NormalWeb"/>
        <w:numPr>
          <w:ilvl w:val="0"/>
          <w:numId w:val="35"/>
        </w:numPr>
        <w:rPr>
          <w:rFonts w:asciiTheme="majorHAnsi" w:hAnsiTheme="majorHAnsi" w:cstheme="majorHAnsi"/>
        </w:rPr>
      </w:pPr>
      <w:r w:rsidRPr="002A7B5A">
        <w:rPr>
          <w:rFonts w:asciiTheme="majorHAnsi" w:hAnsiTheme="majorHAnsi" w:cstheme="majorHAnsi"/>
          <w:b/>
          <w:bCs/>
        </w:rPr>
        <w:t>BRASIL.</w:t>
      </w:r>
      <w:r w:rsidRPr="002A7B5A">
        <w:rPr>
          <w:rFonts w:asciiTheme="majorHAnsi" w:hAnsiTheme="majorHAnsi" w:cstheme="majorHAnsi"/>
        </w:rPr>
        <w:t xml:space="preserve"> Lei Complementar nº 101, de 4 de maio de 2000. Estabelece normas de finanças públicas voltadas para a responsabilidade na gestão fiscal (Lei de Responsabilidade Fiscal - LRF). Brasília, DF: Presidência da República, 2000.</w:t>
      </w:r>
    </w:p>
    <w:p w:rsidR="00EC6DE7" w:rsidRPr="002A7B5A" w:rsidP="00EC6DE7" w14:paraId="29CC54E1" w14:textId="77777777">
      <w:pPr>
        <w:pStyle w:val="NormalWeb"/>
        <w:numPr>
          <w:ilvl w:val="0"/>
          <w:numId w:val="35"/>
        </w:numPr>
        <w:rPr>
          <w:rFonts w:asciiTheme="majorHAnsi" w:hAnsiTheme="majorHAnsi" w:cstheme="majorHAnsi"/>
        </w:rPr>
      </w:pPr>
      <w:r w:rsidRPr="002A7B5A">
        <w:rPr>
          <w:rFonts w:asciiTheme="majorHAnsi" w:hAnsiTheme="majorHAnsi" w:cstheme="majorHAnsi"/>
          <w:b/>
          <w:bCs/>
        </w:rPr>
        <w:t>MOGI MIRIM.</w:t>
      </w:r>
      <w:r w:rsidRPr="002A7B5A">
        <w:rPr>
          <w:rFonts w:asciiTheme="majorHAnsi" w:hAnsiTheme="majorHAnsi" w:cstheme="majorHAnsi"/>
        </w:rPr>
        <w:t xml:space="preserve"> Lei Orgânica do Município de Mogi Mirim.</w:t>
      </w:r>
    </w:p>
    <w:p w:rsidR="00EC6DE7" w:rsidRPr="002A7B5A" w:rsidP="00EC6DE7" w14:paraId="1EE10698" w14:textId="77777777">
      <w:pPr>
        <w:pStyle w:val="NormalWeb"/>
        <w:numPr>
          <w:ilvl w:val="0"/>
          <w:numId w:val="35"/>
        </w:numPr>
        <w:rPr>
          <w:rFonts w:asciiTheme="majorHAnsi" w:hAnsiTheme="majorHAnsi" w:cstheme="majorHAnsi"/>
        </w:rPr>
      </w:pPr>
      <w:r w:rsidRPr="002A7B5A">
        <w:rPr>
          <w:rFonts w:asciiTheme="majorHAnsi" w:hAnsiTheme="majorHAnsi" w:cstheme="majorHAnsi"/>
          <w:b/>
          <w:bCs/>
        </w:rPr>
        <w:t>MOGI MIRIM.</w:t>
      </w:r>
      <w:r w:rsidRPr="002A7B5A">
        <w:rPr>
          <w:rFonts w:asciiTheme="majorHAnsi" w:hAnsiTheme="majorHAnsi" w:cstheme="majorHAnsi"/>
        </w:rPr>
        <w:t xml:space="preserve"> Lei Complementar nº 206, de 27 de dezembro de 2006. Dispõe sobre o Quadro de Pessoal, Plano de Empregos, Salários, Carreira dos Funcionários do Serviço Autônomo de Água e Esgotos de Mogi Mirim (SAAE).</w:t>
      </w:r>
    </w:p>
    <w:p w:rsidR="00EC6DE7" w:rsidRPr="002A7B5A" w:rsidP="00EC6DE7" w14:paraId="63CCEA95" w14:textId="77777777">
      <w:pPr>
        <w:rPr>
          <w:rFonts w:asciiTheme="majorHAnsi" w:hAnsiTheme="majorHAnsi" w:cstheme="majorHAnsi"/>
          <w:sz w:val="24"/>
          <w:szCs w:val="24"/>
        </w:rPr>
      </w:pPr>
    </w:p>
    <w:p w:rsidR="00105B00" w:rsidRPr="002A7B5A" w:rsidP="005B6271" w14:paraId="0E2582F7" w14:textId="77777777">
      <w:pPr>
        <w:jc w:val="both"/>
        <w:rPr>
          <w:rFonts w:asciiTheme="majorHAnsi" w:hAnsiTheme="majorHAnsi" w:cstheme="majorHAnsi"/>
          <w:b/>
          <w:color w:val="000000"/>
          <w:sz w:val="24"/>
          <w:szCs w:val="24"/>
          <w:u w:val="single"/>
        </w:rPr>
      </w:pPr>
    </w:p>
    <w:p w:rsidR="003C56AC" w:rsidRPr="002A7B5A" w:rsidP="005B6271" w14:paraId="371AA872" w14:textId="77777777">
      <w:pPr>
        <w:jc w:val="both"/>
        <w:rPr>
          <w:rFonts w:asciiTheme="majorHAnsi" w:hAnsiTheme="majorHAnsi" w:cstheme="majorHAnsi"/>
          <w:b/>
          <w:color w:val="000000"/>
          <w:sz w:val="24"/>
          <w:szCs w:val="24"/>
          <w:u w:val="single"/>
        </w:rPr>
      </w:pPr>
    </w:p>
    <w:p w:rsidR="003C56AC" w:rsidRPr="002A7B5A" w:rsidP="005B6271" w14:paraId="14BCF861" w14:textId="77777777">
      <w:pPr>
        <w:jc w:val="both"/>
        <w:rPr>
          <w:rFonts w:asciiTheme="majorHAnsi" w:hAnsiTheme="majorHAnsi" w:cstheme="majorHAnsi"/>
          <w:b/>
          <w:color w:val="000000"/>
          <w:sz w:val="24"/>
          <w:szCs w:val="24"/>
          <w:u w:val="single"/>
        </w:rPr>
      </w:pPr>
    </w:p>
    <w:p w:rsidR="00820F79" w:rsidRPr="002A7B5A" w:rsidP="005B6271" w14:paraId="01FD7889" w14:textId="77777777">
      <w:pPr>
        <w:jc w:val="both"/>
        <w:rPr>
          <w:rFonts w:asciiTheme="majorHAnsi" w:hAnsiTheme="majorHAnsi" w:cstheme="majorHAnsi"/>
          <w:b/>
          <w:color w:val="000000"/>
          <w:sz w:val="24"/>
          <w:szCs w:val="24"/>
          <w:u w:val="single"/>
        </w:rPr>
      </w:pPr>
    </w:p>
    <w:p w:rsidR="00820F79" w:rsidRPr="002A7B5A" w:rsidP="005B6271" w14:paraId="7405D09F" w14:textId="77777777">
      <w:pPr>
        <w:jc w:val="both"/>
        <w:rPr>
          <w:rFonts w:asciiTheme="majorHAnsi" w:hAnsiTheme="majorHAnsi" w:cstheme="majorHAnsi"/>
          <w:b/>
          <w:color w:val="000000"/>
          <w:sz w:val="24"/>
          <w:szCs w:val="24"/>
          <w:u w:val="single"/>
        </w:rPr>
      </w:pPr>
    </w:p>
    <w:p w:rsidR="00820F79" w:rsidRPr="002A7B5A" w:rsidP="005B6271" w14:paraId="1E214E17" w14:textId="77777777">
      <w:pPr>
        <w:jc w:val="both"/>
        <w:rPr>
          <w:rFonts w:asciiTheme="majorHAnsi" w:hAnsiTheme="majorHAnsi" w:cstheme="majorHAnsi"/>
          <w:b/>
          <w:color w:val="000000"/>
          <w:sz w:val="24"/>
          <w:szCs w:val="24"/>
          <w:u w:val="single"/>
        </w:rPr>
      </w:pPr>
    </w:p>
    <w:p w:rsidR="00820F79" w:rsidRPr="002A7B5A" w:rsidP="005B6271" w14:paraId="7EBD892A" w14:textId="77777777">
      <w:pPr>
        <w:jc w:val="both"/>
        <w:rPr>
          <w:rFonts w:asciiTheme="majorHAnsi" w:hAnsiTheme="majorHAnsi" w:cstheme="majorHAnsi"/>
          <w:b/>
          <w:color w:val="000000"/>
          <w:sz w:val="24"/>
          <w:szCs w:val="24"/>
          <w:u w:val="single"/>
        </w:rPr>
      </w:pPr>
    </w:p>
    <w:p w:rsidR="00820F79" w:rsidRPr="002A7B5A" w:rsidP="005B6271" w14:paraId="48441508" w14:textId="77777777">
      <w:pPr>
        <w:jc w:val="both"/>
        <w:rPr>
          <w:rFonts w:asciiTheme="majorHAnsi" w:hAnsiTheme="majorHAnsi" w:cstheme="majorHAnsi"/>
          <w:b/>
          <w:color w:val="000000"/>
          <w:sz w:val="24"/>
          <w:szCs w:val="24"/>
          <w:u w:val="single"/>
        </w:rPr>
      </w:pPr>
    </w:p>
    <w:p w:rsidR="003C56AC" w:rsidRPr="002A7B5A" w:rsidP="005B6271" w14:paraId="351BCF91" w14:textId="77777777">
      <w:pPr>
        <w:jc w:val="both"/>
        <w:rPr>
          <w:rFonts w:asciiTheme="majorHAnsi" w:hAnsiTheme="majorHAnsi" w:cstheme="majorHAnsi"/>
          <w:b/>
          <w:color w:val="000000"/>
          <w:sz w:val="24"/>
          <w:szCs w:val="24"/>
          <w:u w:val="single"/>
        </w:rPr>
      </w:pPr>
    </w:p>
    <w:p w:rsidR="003C56AC" w:rsidRPr="002A7B5A" w:rsidP="003C56AC" w14:paraId="059CC5F4" w14:textId="7EC8A0AA">
      <w:pPr>
        <w:spacing w:line="380" w:lineRule="atLeast"/>
        <w:jc w:val="both"/>
        <w:rPr>
          <w:rFonts w:asciiTheme="majorHAnsi" w:hAnsiTheme="majorHAnsi" w:cstheme="majorHAnsi"/>
          <w:b/>
          <w:sz w:val="24"/>
          <w:szCs w:val="24"/>
        </w:rPr>
      </w:pPr>
      <w:r>
        <w:rPr>
          <w:rFonts w:asciiTheme="majorHAnsi" w:hAnsiTheme="majorHAnsi" w:cstheme="majorHAnsi"/>
          <w:b/>
          <w:sz w:val="24"/>
          <w:szCs w:val="24"/>
        </w:rPr>
        <w:t>PARECER CONJUNTO DAS COMISS</w:t>
      </w:r>
      <w:r w:rsidR="00B4634D">
        <w:rPr>
          <w:rFonts w:asciiTheme="majorHAnsi" w:hAnsiTheme="majorHAnsi" w:cstheme="majorHAnsi"/>
          <w:b/>
          <w:sz w:val="24"/>
          <w:szCs w:val="24"/>
        </w:rPr>
        <w:t>ÕE</w:t>
      </w:r>
      <w:r>
        <w:rPr>
          <w:rFonts w:asciiTheme="majorHAnsi" w:hAnsiTheme="majorHAnsi" w:cstheme="majorHAnsi"/>
          <w:b/>
          <w:sz w:val="24"/>
          <w:szCs w:val="24"/>
        </w:rPr>
        <w:t>S</w:t>
      </w:r>
      <w:r w:rsidRPr="002A7B5A">
        <w:rPr>
          <w:rFonts w:asciiTheme="majorHAnsi" w:hAnsiTheme="majorHAnsi" w:cstheme="majorHAnsi"/>
          <w:b/>
          <w:sz w:val="24"/>
          <w:szCs w:val="24"/>
        </w:rPr>
        <w:t xml:space="preserve"> DE JUSTIÇA E REDAÇÃO</w:t>
      </w:r>
      <w:r>
        <w:rPr>
          <w:rFonts w:asciiTheme="majorHAnsi" w:hAnsiTheme="majorHAnsi" w:cstheme="majorHAnsi"/>
          <w:b/>
          <w:sz w:val="24"/>
          <w:szCs w:val="24"/>
        </w:rPr>
        <w:t>, E EDUCAÇÃO, SAUDE, CULTURA, ESPORTE E ASSISTENCIA SOCIAL</w:t>
      </w:r>
      <w:r w:rsidRPr="002A7B5A">
        <w:rPr>
          <w:rFonts w:asciiTheme="majorHAnsi" w:hAnsiTheme="majorHAnsi" w:cstheme="majorHAnsi"/>
          <w:b/>
          <w:sz w:val="24"/>
          <w:szCs w:val="24"/>
        </w:rPr>
        <w:t xml:space="preserve"> AO PROJETO DE </w:t>
      </w:r>
      <w:r w:rsidRPr="002A7B5A" w:rsidR="00AA4A22">
        <w:rPr>
          <w:rFonts w:asciiTheme="majorHAnsi" w:hAnsiTheme="majorHAnsi" w:cstheme="majorHAnsi"/>
          <w:b/>
          <w:sz w:val="24"/>
          <w:szCs w:val="24"/>
        </w:rPr>
        <w:t>LEI</w:t>
      </w:r>
      <w:r>
        <w:rPr>
          <w:rFonts w:asciiTheme="majorHAnsi" w:hAnsiTheme="majorHAnsi" w:cstheme="majorHAnsi"/>
          <w:b/>
          <w:sz w:val="24"/>
          <w:szCs w:val="24"/>
        </w:rPr>
        <w:t xml:space="preserve"> COMPLEMENTAR</w:t>
      </w:r>
      <w:r w:rsidRPr="002A7B5A" w:rsidR="00AA4A22">
        <w:rPr>
          <w:rFonts w:asciiTheme="majorHAnsi" w:hAnsiTheme="majorHAnsi" w:cstheme="majorHAnsi"/>
          <w:b/>
          <w:sz w:val="24"/>
          <w:szCs w:val="24"/>
        </w:rPr>
        <w:t xml:space="preserve"> N</w:t>
      </w:r>
      <w:r>
        <w:rPr>
          <w:rFonts w:asciiTheme="majorHAnsi" w:hAnsiTheme="majorHAnsi" w:cstheme="majorHAnsi"/>
          <w:b/>
          <w:sz w:val="24"/>
          <w:szCs w:val="24"/>
        </w:rPr>
        <w:t>° 25</w:t>
      </w:r>
      <w:r w:rsidR="00B4634D">
        <w:rPr>
          <w:rFonts w:asciiTheme="majorHAnsi" w:hAnsiTheme="majorHAnsi" w:cstheme="majorHAnsi"/>
          <w:b/>
          <w:sz w:val="24"/>
          <w:szCs w:val="24"/>
        </w:rPr>
        <w:t xml:space="preserve"> </w:t>
      </w:r>
      <w:r w:rsidRPr="002A7B5A">
        <w:rPr>
          <w:rFonts w:asciiTheme="majorHAnsi" w:hAnsiTheme="majorHAnsi" w:cstheme="majorHAnsi"/>
          <w:b/>
          <w:sz w:val="24"/>
          <w:szCs w:val="24"/>
        </w:rPr>
        <w:t xml:space="preserve">DE 2025 DE AUTORIA </w:t>
      </w:r>
      <w:r>
        <w:rPr>
          <w:rFonts w:asciiTheme="majorHAnsi" w:hAnsiTheme="majorHAnsi" w:cstheme="majorHAnsi"/>
          <w:b/>
          <w:sz w:val="24"/>
          <w:szCs w:val="24"/>
        </w:rPr>
        <w:t>DO PODER EXECUTIVO</w:t>
      </w:r>
      <w:r w:rsidR="00B4634D">
        <w:rPr>
          <w:rFonts w:asciiTheme="majorHAnsi" w:hAnsiTheme="majorHAnsi" w:cstheme="majorHAnsi"/>
          <w:b/>
          <w:sz w:val="24"/>
          <w:szCs w:val="24"/>
        </w:rPr>
        <w:t>.</w:t>
      </w:r>
    </w:p>
    <w:p w:rsidR="003C56AC" w:rsidRPr="002A7B5A" w:rsidP="003C56AC" w14:paraId="6A62D723" w14:textId="77777777">
      <w:pPr>
        <w:spacing w:line="380" w:lineRule="atLeast"/>
        <w:jc w:val="both"/>
        <w:rPr>
          <w:rFonts w:asciiTheme="majorHAnsi" w:hAnsiTheme="majorHAnsi" w:cstheme="majorHAnsi"/>
          <w:sz w:val="24"/>
          <w:szCs w:val="24"/>
        </w:rPr>
      </w:pPr>
    </w:p>
    <w:p w:rsidR="003C56AC" w:rsidRPr="002A7B5A" w:rsidP="003C56AC" w14:paraId="6CE45993" w14:textId="67C0141C">
      <w:pPr>
        <w:spacing w:line="380" w:lineRule="atLeast"/>
        <w:jc w:val="both"/>
        <w:rPr>
          <w:rFonts w:asciiTheme="majorHAnsi" w:hAnsiTheme="majorHAnsi" w:cstheme="majorHAnsi"/>
          <w:b/>
          <w:bCs/>
          <w:sz w:val="24"/>
          <w:szCs w:val="24"/>
        </w:rPr>
      </w:pPr>
      <w:r w:rsidRPr="002A7B5A">
        <w:rPr>
          <w:rFonts w:asciiTheme="majorHAnsi" w:hAnsiTheme="majorHAnsi" w:cstheme="majorHAnsi"/>
          <w:sz w:val="24"/>
          <w:szCs w:val="24"/>
        </w:rPr>
        <w:t>Seguindo o Voto exarado pelo Relator e conforme determina o artigo 35</w:t>
      </w:r>
      <w:r w:rsidR="002C3514">
        <w:rPr>
          <w:rFonts w:asciiTheme="majorHAnsi" w:hAnsiTheme="majorHAnsi" w:cstheme="majorHAnsi"/>
          <w:sz w:val="24"/>
          <w:szCs w:val="24"/>
        </w:rPr>
        <w:t>, e 39</w:t>
      </w:r>
      <w:r w:rsidRPr="002A7B5A">
        <w:rPr>
          <w:rFonts w:asciiTheme="majorHAnsi" w:hAnsiTheme="majorHAnsi" w:cstheme="majorHAnsi"/>
          <w:sz w:val="24"/>
          <w:szCs w:val="24"/>
        </w:rPr>
        <w:t xml:space="preserve"> da Resolução n° 276 de 09 de novembro de 2010 a Comissão Permanente de Justiça e Redação</w:t>
      </w:r>
      <w:r w:rsidR="00B4634D">
        <w:rPr>
          <w:rFonts w:asciiTheme="majorHAnsi" w:hAnsiTheme="majorHAnsi" w:cstheme="majorHAnsi"/>
          <w:sz w:val="24"/>
          <w:szCs w:val="24"/>
        </w:rPr>
        <w:t xml:space="preserve"> e Educação, Saúde, Cultura, Esporte e Assistência Social</w:t>
      </w:r>
      <w:r w:rsidRPr="002A7B5A">
        <w:rPr>
          <w:rFonts w:asciiTheme="majorHAnsi" w:hAnsiTheme="majorHAnsi" w:cstheme="majorHAnsi"/>
          <w:sz w:val="24"/>
          <w:szCs w:val="24"/>
        </w:rPr>
        <w:t xml:space="preserve"> formaliza</w:t>
      </w:r>
      <w:r w:rsidR="00B4634D">
        <w:rPr>
          <w:rFonts w:asciiTheme="majorHAnsi" w:hAnsiTheme="majorHAnsi" w:cstheme="majorHAnsi"/>
          <w:sz w:val="24"/>
          <w:szCs w:val="24"/>
        </w:rPr>
        <w:t>m</w:t>
      </w:r>
      <w:r w:rsidRPr="002A7B5A">
        <w:rPr>
          <w:rFonts w:asciiTheme="majorHAnsi" w:hAnsiTheme="majorHAnsi" w:cstheme="majorHAnsi"/>
          <w:sz w:val="24"/>
          <w:szCs w:val="24"/>
        </w:rPr>
        <w:t xml:space="preserve"> o presente PARECER FAVORÁVEL ao Projeto de Lei</w:t>
      </w:r>
      <w:r w:rsidRPr="002A7B5A" w:rsidR="002A7B5A">
        <w:rPr>
          <w:rFonts w:asciiTheme="majorHAnsi" w:hAnsiTheme="majorHAnsi" w:cstheme="majorHAnsi"/>
          <w:sz w:val="24"/>
          <w:szCs w:val="24"/>
        </w:rPr>
        <w:t xml:space="preserve"> Complementar n° 25</w:t>
      </w:r>
      <w:r w:rsidRPr="002A7B5A">
        <w:rPr>
          <w:rFonts w:asciiTheme="majorHAnsi" w:hAnsiTheme="majorHAnsi" w:cstheme="majorHAnsi"/>
          <w:sz w:val="24"/>
          <w:szCs w:val="24"/>
        </w:rPr>
        <w:t xml:space="preserve"> de 2025.</w:t>
      </w:r>
    </w:p>
    <w:p w:rsidR="003C56AC" w:rsidRPr="002A7B5A" w:rsidP="003C56AC" w14:paraId="0F4D40A9" w14:textId="77777777">
      <w:pPr>
        <w:spacing w:line="380" w:lineRule="atLeast"/>
        <w:jc w:val="both"/>
        <w:rPr>
          <w:rFonts w:asciiTheme="majorHAnsi" w:hAnsiTheme="majorHAnsi" w:cstheme="majorHAnsi"/>
          <w:b/>
          <w:bCs/>
          <w:sz w:val="24"/>
          <w:szCs w:val="24"/>
        </w:rPr>
      </w:pPr>
    </w:p>
    <w:p w:rsidR="003C56AC" w:rsidRPr="002A7B5A" w:rsidP="003C56AC" w14:paraId="21B6485F" w14:textId="77777777">
      <w:pPr>
        <w:spacing w:line="380" w:lineRule="atLeast"/>
        <w:jc w:val="center"/>
        <w:rPr>
          <w:rFonts w:asciiTheme="majorHAnsi" w:hAnsiTheme="majorHAnsi" w:cstheme="majorHAnsi"/>
          <w:bCs/>
          <w:sz w:val="24"/>
          <w:szCs w:val="24"/>
        </w:rPr>
      </w:pPr>
    </w:p>
    <w:p w:rsidR="003C56AC" w:rsidRPr="002A7B5A" w:rsidP="003C56AC" w14:paraId="69032818" w14:textId="77777777">
      <w:pPr>
        <w:spacing w:line="380" w:lineRule="atLeast"/>
        <w:jc w:val="center"/>
        <w:rPr>
          <w:rFonts w:asciiTheme="majorHAnsi" w:hAnsiTheme="majorHAnsi" w:cstheme="majorHAnsi"/>
          <w:bCs/>
          <w:sz w:val="24"/>
          <w:szCs w:val="24"/>
        </w:rPr>
      </w:pPr>
    </w:p>
    <w:p w:rsidR="003C56AC" w:rsidRPr="002A7B5A" w:rsidP="003C56AC" w14:paraId="7296C1EE" w14:textId="6691B475">
      <w:pPr>
        <w:jc w:val="center"/>
        <w:rPr>
          <w:rFonts w:asciiTheme="majorHAnsi" w:hAnsiTheme="majorHAnsi" w:cstheme="majorHAnsi"/>
          <w:b/>
          <w:iCs/>
          <w:sz w:val="24"/>
          <w:szCs w:val="24"/>
        </w:rPr>
      </w:pPr>
      <w:r w:rsidRPr="002A7B5A">
        <w:rPr>
          <w:rFonts w:asciiTheme="majorHAnsi" w:hAnsiTheme="majorHAnsi" w:cstheme="majorHAnsi"/>
          <w:b/>
          <w:iCs/>
          <w:sz w:val="24"/>
          <w:szCs w:val="24"/>
        </w:rPr>
        <w:t xml:space="preserve">Sala das Comissões, </w:t>
      </w:r>
      <w:r w:rsidRPr="002A7B5A" w:rsidR="00EC6DE7">
        <w:rPr>
          <w:rFonts w:asciiTheme="majorHAnsi" w:hAnsiTheme="majorHAnsi" w:cstheme="majorHAnsi"/>
          <w:b/>
          <w:iCs/>
          <w:sz w:val="24"/>
          <w:szCs w:val="24"/>
        </w:rPr>
        <w:t>em 12 de novembro</w:t>
      </w:r>
      <w:r w:rsidRPr="002A7B5A">
        <w:rPr>
          <w:rFonts w:asciiTheme="majorHAnsi" w:hAnsiTheme="majorHAnsi" w:cstheme="majorHAnsi"/>
          <w:b/>
          <w:iCs/>
          <w:sz w:val="24"/>
          <w:szCs w:val="24"/>
        </w:rPr>
        <w:t xml:space="preserve"> de 2025</w:t>
      </w:r>
    </w:p>
    <w:p w:rsidR="003C56AC" w:rsidRPr="002A7B5A" w:rsidP="003C56AC" w14:paraId="3498B723" w14:textId="77777777">
      <w:pPr>
        <w:spacing w:line="380" w:lineRule="atLeast"/>
        <w:jc w:val="center"/>
        <w:rPr>
          <w:rFonts w:asciiTheme="majorHAnsi" w:hAnsiTheme="majorHAnsi" w:cstheme="majorHAnsi"/>
          <w:bCs/>
          <w:sz w:val="24"/>
          <w:szCs w:val="24"/>
        </w:rPr>
      </w:pPr>
    </w:p>
    <w:p w:rsidR="003C56AC" w:rsidRPr="002A7B5A" w:rsidP="003C56AC" w14:paraId="61B68F95" w14:textId="77777777">
      <w:pPr>
        <w:spacing w:line="380" w:lineRule="atLeast"/>
        <w:jc w:val="center"/>
        <w:rPr>
          <w:rFonts w:asciiTheme="majorHAnsi" w:hAnsiTheme="majorHAnsi" w:cstheme="majorHAnsi"/>
          <w:bCs/>
          <w:sz w:val="24"/>
          <w:szCs w:val="24"/>
        </w:rPr>
      </w:pPr>
    </w:p>
    <w:p w:rsidR="003C56AC" w:rsidRPr="002A7B5A" w:rsidP="003C56AC" w14:paraId="33AF271D" w14:textId="77777777">
      <w:pPr>
        <w:jc w:val="center"/>
        <w:rPr>
          <w:rFonts w:asciiTheme="majorHAnsi" w:hAnsiTheme="majorHAnsi" w:cstheme="majorHAnsi"/>
          <w:b/>
          <w:sz w:val="24"/>
          <w:szCs w:val="24"/>
          <w:u w:val="single"/>
        </w:rPr>
      </w:pPr>
      <w:r w:rsidRPr="002A7B5A">
        <w:rPr>
          <w:rFonts w:asciiTheme="majorHAnsi" w:hAnsiTheme="majorHAnsi" w:cstheme="majorHAnsi"/>
          <w:b/>
          <w:sz w:val="24"/>
          <w:szCs w:val="24"/>
          <w:u w:val="single"/>
        </w:rPr>
        <w:t>COMISSÃO DE JUSTIÇA E REDAÇÃO</w:t>
      </w:r>
    </w:p>
    <w:p w:rsidR="003C56AC" w:rsidRPr="002A7B5A" w:rsidP="003C56AC" w14:paraId="617C5129" w14:textId="77777777">
      <w:pPr>
        <w:jc w:val="center"/>
        <w:rPr>
          <w:rFonts w:asciiTheme="majorHAnsi" w:hAnsiTheme="majorHAnsi" w:cstheme="majorHAnsi"/>
          <w:b/>
          <w:sz w:val="24"/>
          <w:szCs w:val="24"/>
          <w:u w:val="single"/>
        </w:rPr>
      </w:pPr>
    </w:p>
    <w:p w:rsidR="003C56AC" w:rsidRPr="002A7B5A" w:rsidP="003C56AC" w14:paraId="794272A0" w14:textId="77777777">
      <w:pPr>
        <w:jc w:val="center"/>
        <w:rPr>
          <w:rFonts w:asciiTheme="majorHAnsi" w:hAnsiTheme="majorHAnsi" w:cstheme="majorHAnsi"/>
          <w:b/>
          <w:sz w:val="24"/>
          <w:szCs w:val="24"/>
          <w:u w:val="single"/>
        </w:rPr>
      </w:pPr>
    </w:p>
    <w:p w:rsidR="003C56AC" w:rsidRPr="002A7B5A" w:rsidP="003C56AC" w14:paraId="05345113" w14:textId="77777777">
      <w:pPr>
        <w:spacing w:before="240" w:line="360" w:lineRule="auto"/>
        <w:jc w:val="center"/>
        <w:rPr>
          <w:rFonts w:asciiTheme="majorHAnsi" w:hAnsiTheme="majorHAnsi" w:cstheme="majorHAnsi"/>
          <w:i/>
          <w:sz w:val="24"/>
          <w:szCs w:val="24"/>
        </w:rPr>
      </w:pPr>
      <w:r w:rsidRPr="002A7B5A">
        <w:rPr>
          <w:rFonts w:asciiTheme="majorHAnsi" w:hAnsiTheme="majorHAnsi" w:cstheme="majorHAnsi"/>
          <w:bCs/>
          <w:i/>
          <w:sz w:val="24"/>
          <w:szCs w:val="24"/>
        </w:rPr>
        <w:t>(assinado digitalmente)</w:t>
      </w:r>
    </w:p>
    <w:p w:rsidR="003C56AC" w:rsidRPr="002A7B5A" w:rsidP="003C56AC" w14:paraId="4316FD93" w14:textId="77777777">
      <w:pPr>
        <w:spacing w:line="380" w:lineRule="atLeast"/>
        <w:jc w:val="center"/>
        <w:rPr>
          <w:rFonts w:asciiTheme="majorHAnsi" w:hAnsiTheme="majorHAnsi" w:cstheme="majorHAnsi"/>
          <w:b/>
          <w:sz w:val="24"/>
          <w:szCs w:val="24"/>
          <w:u w:val="single"/>
        </w:rPr>
      </w:pPr>
      <w:r w:rsidRPr="002A7B5A">
        <w:rPr>
          <w:rFonts w:asciiTheme="majorHAnsi" w:hAnsiTheme="majorHAnsi" w:cstheme="majorHAnsi"/>
          <w:b/>
          <w:sz w:val="24"/>
          <w:szCs w:val="24"/>
          <w:u w:val="single"/>
        </w:rPr>
        <w:t>VEREADOR WAGNER RICARDO PEREIRA</w:t>
      </w:r>
    </w:p>
    <w:p w:rsidR="003C56AC" w:rsidRPr="002A7B5A" w:rsidP="003C56AC" w14:paraId="640AC8AA" w14:textId="77777777">
      <w:pPr>
        <w:spacing w:line="380" w:lineRule="atLeast"/>
        <w:jc w:val="center"/>
        <w:rPr>
          <w:rFonts w:asciiTheme="majorHAnsi" w:hAnsiTheme="majorHAnsi" w:cstheme="majorHAnsi"/>
          <w:sz w:val="24"/>
          <w:szCs w:val="24"/>
        </w:rPr>
      </w:pPr>
      <w:r w:rsidRPr="002A7B5A">
        <w:rPr>
          <w:rFonts w:asciiTheme="majorHAnsi" w:hAnsiTheme="majorHAnsi" w:cstheme="majorHAnsi"/>
          <w:sz w:val="24"/>
          <w:szCs w:val="24"/>
        </w:rPr>
        <w:t>Presidente/Relator</w:t>
      </w:r>
    </w:p>
    <w:p w:rsidR="003C56AC" w:rsidRPr="002A7B5A" w:rsidP="003C56AC" w14:paraId="0CC120EA" w14:textId="77777777">
      <w:pPr>
        <w:spacing w:line="380" w:lineRule="atLeast"/>
        <w:rPr>
          <w:rFonts w:asciiTheme="majorHAnsi" w:hAnsiTheme="majorHAnsi" w:cstheme="majorHAnsi"/>
          <w:b/>
          <w:sz w:val="24"/>
          <w:szCs w:val="24"/>
          <w:u w:val="single"/>
        </w:rPr>
      </w:pPr>
    </w:p>
    <w:p w:rsidR="003C56AC" w:rsidRPr="002A7B5A" w:rsidP="003C56AC" w14:paraId="68186DD9" w14:textId="77777777">
      <w:pPr>
        <w:spacing w:before="240" w:line="360" w:lineRule="auto"/>
        <w:jc w:val="center"/>
        <w:rPr>
          <w:rFonts w:asciiTheme="majorHAnsi" w:hAnsiTheme="majorHAnsi" w:cstheme="majorHAnsi"/>
          <w:i/>
          <w:sz w:val="24"/>
          <w:szCs w:val="24"/>
        </w:rPr>
      </w:pPr>
      <w:r w:rsidRPr="002A7B5A">
        <w:rPr>
          <w:rFonts w:asciiTheme="majorHAnsi" w:hAnsiTheme="majorHAnsi" w:cstheme="majorHAnsi"/>
          <w:bCs/>
          <w:i/>
          <w:sz w:val="24"/>
          <w:szCs w:val="24"/>
        </w:rPr>
        <w:t>(assinado digitalmente)</w:t>
      </w:r>
    </w:p>
    <w:p w:rsidR="003C56AC" w:rsidRPr="002A7B5A" w:rsidP="003C56AC" w14:paraId="0C3B0A8E" w14:textId="77777777">
      <w:pPr>
        <w:spacing w:line="380" w:lineRule="atLeast"/>
        <w:jc w:val="center"/>
        <w:rPr>
          <w:rFonts w:asciiTheme="majorHAnsi" w:hAnsiTheme="majorHAnsi" w:cstheme="majorHAnsi"/>
          <w:b/>
          <w:sz w:val="24"/>
          <w:szCs w:val="24"/>
          <w:u w:val="single"/>
        </w:rPr>
      </w:pPr>
      <w:r w:rsidRPr="002A7B5A">
        <w:rPr>
          <w:rFonts w:asciiTheme="majorHAnsi" w:hAnsiTheme="majorHAnsi" w:cstheme="majorHAnsi"/>
          <w:b/>
          <w:sz w:val="24"/>
          <w:szCs w:val="24"/>
          <w:u w:val="single"/>
        </w:rPr>
        <w:t>VEREADOR JOÃO VICTOR COUTINHO GASPARINI</w:t>
      </w:r>
    </w:p>
    <w:p w:rsidR="003C56AC" w:rsidRPr="002A7B5A" w:rsidP="003C56AC" w14:paraId="5010B291" w14:textId="77777777">
      <w:pPr>
        <w:spacing w:line="380" w:lineRule="atLeast"/>
        <w:jc w:val="center"/>
        <w:rPr>
          <w:rFonts w:asciiTheme="majorHAnsi" w:hAnsiTheme="majorHAnsi" w:cstheme="majorHAnsi"/>
          <w:sz w:val="24"/>
          <w:szCs w:val="24"/>
        </w:rPr>
      </w:pPr>
      <w:r w:rsidRPr="002A7B5A">
        <w:rPr>
          <w:rFonts w:asciiTheme="majorHAnsi" w:hAnsiTheme="majorHAnsi" w:cstheme="majorHAnsi"/>
          <w:sz w:val="24"/>
          <w:szCs w:val="24"/>
        </w:rPr>
        <w:t>Vice-Presidente</w:t>
      </w:r>
    </w:p>
    <w:p w:rsidR="003C56AC" w:rsidRPr="002A7B5A" w:rsidP="003C56AC" w14:paraId="2B9F3B5F" w14:textId="77777777">
      <w:pPr>
        <w:spacing w:before="240" w:line="360" w:lineRule="auto"/>
        <w:jc w:val="center"/>
        <w:rPr>
          <w:rFonts w:asciiTheme="majorHAnsi" w:hAnsiTheme="majorHAnsi" w:cstheme="majorHAnsi"/>
          <w:b/>
          <w:sz w:val="24"/>
          <w:szCs w:val="24"/>
          <w:u w:val="single"/>
        </w:rPr>
      </w:pPr>
    </w:p>
    <w:p w:rsidR="003C56AC" w:rsidRPr="002A7B5A" w:rsidP="003C56AC" w14:paraId="16B5650F" w14:textId="77777777">
      <w:pPr>
        <w:spacing w:before="240" w:line="360" w:lineRule="auto"/>
        <w:jc w:val="center"/>
        <w:rPr>
          <w:rFonts w:asciiTheme="majorHAnsi" w:hAnsiTheme="majorHAnsi" w:cstheme="majorHAnsi"/>
          <w:i/>
          <w:sz w:val="24"/>
          <w:szCs w:val="24"/>
        </w:rPr>
      </w:pPr>
      <w:r w:rsidRPr="002A7B5A">
        <w:rPr>
          <w:rFonts w:asciiTheme="majorHAnsi" w:hAnsiTheme="majorHAnsi" w:cstheme="majorHAnsi"/>
          <w:bCs/>
          <w:i/>
          <w:sz w:val="24"/>
          <w:szCs w:val="24"/>
        </w:rPr>
        <w:t>(assinado digitalmente)</w:t>
      </w:r>
    </w:p>
    <w:p w:rsidR="003C56AC" w:rsidRPr="002A7B5A" w:rsidP="003C56AC" w14:paraId="47F2B71B" w14:textId="77777777">
      <w:pPr>
        <w:spacing w:line="380" w:lineRule="atLeast"/>
        <w:jc w:val="center"/>
        <w:rPr>
          <w:rFonts w:asciiTheme="majorHAnsi" w:hAnsiTheme="majorHAnsi" w:cstheme="majorHAnsi"/>
          <w:b/>
          <w:sz w:val="24"/>
          <w:szCs w:val="24"/>
          <w:u w:val="single"/>
        </w:rPr>
      </w:pPr>
      <w:r w:rsidRPr="002A7B5A">
        <w:rPr>
          <w:rFonts w:asciiTheme="majorHAnsi" w:hAnsiTheme="majorHAnsi" w:cstheme="majorHAnsi"/>
          <w:b/>
          <w:sz w:val="24"/>
          <w:szCs w:val="24"/>
          <w:u w:val="single"/>
        </w:rPr>
        <w:t>VEREADOR WILIANS MENDES DE OLIVEIRA</w:t>
      </w:r>
    </w:p>
    <w:p w:rsidR="003C56AC" w:rsidRPr="002A7B5A" w:rsidP="003C56AC" w14:paraId="45676BA9" w14:textId="77777777">
      <w:pPr>
        <w:spacing w:line="380" w:lineRule="atLeast"/>
        <w:jc w:val="center"/>
        <w:rPr>
          <w:rFonts w:asciiTheme="majorHAnsi" w:hAnsiTheme="majorHAnsi" w:cstheme="majorHAnsi"/>
          <w:sz w:val="24"/>
          <w:szCs w:val="24"/>
        </w:rPr>
      </w:pPr>
      <w:r w:rsidRPr="002A7B5A">
        <w:rPr>
          <w:rFonts w:asciiTheme="majorHAnsi" w:hAnsiTheme="majorHAnsi" w:cstheme="majorHAnsi"/>
          <w:sz w:val="24"/>
          <w:szCs w:val="24"/>
        </w:rPr>
        <w:t>Membro</w:t>
      </w:r>
    </w:p>
    <w:p w:rsidR="003C56AC" w:rsidRPr="002A7B5A" w:rsidP="003C56AC" w14:paraId="2B9A1EF8" w14:textId="77777777">
      <w:pPr>
        <w:pStyle w:val="NormalWeb"/>
        <w:spacing w:before="0" w:beforeAutospacing="0" w:line="360" w:lineRule="auto"/>
        <w:jc w:val="both"/>
        <w:rPr>
          <w:rFonts w:asciiTheme="majorHAnsi" w:hAnsiTheme="majorHAnsi" w:cstheme="majorHAnsi"/>
        </w:rPr>
      </w:pPr>
    </w:p>
    <w:p w:rsidR="003C56AC" w:rsidRPr="002A7B5A" w:rsidP="005B6271" w14:paraId="06F6C725" w14:textId="77777777">
      <w:pPr>
        <w:jc w:val="both"/>
        <w:rPr>
          <w:rFonts w:asciiTheme="majorHAnsi" w:hAnsiTheme="majorHAnsi" w:cstheme="majorHAnsi"/>
          <w:b/>
          <w:color w:val="000000"/>
          <w:sz w:val="24"/>
          <w:szCs w:val="24"/>
          <w:u w:val="single"/>
        </w:rPr>
      </w:pPr>
    </w:p>
    <w:p w:rsidR="003C56AC" w:rsidRPr="002A7B5A" w:rsidP="005B6271" w14:paraId="44428546" w14:textId="77777777">
      <w:pPr>
        <w:jc w:val="both"/>
        <w:rPr>
          <w:rFonts w:asciiTheme="majorHAnsi" w:hAnsiTheme="majorHAnsi" w:cstheme="majorHAnsi"/>
          <w:b/>
          <w:color w:val="000000"/>
          <w:sz w:val="24"/>
          <w:szCs w:val="24"/>
          <w:u w:val="single"/>
        </w:rPr>
      </w:pPr>
    </w:p>
    <w:p w:rsidR="002C3514" w:rsidRPr="002A7B5A" w:rsidP="002C3514" w14:paraId="5D711C83" w14:textId="191342D9">
      <w:pPr>
        <w:jc w:val="center"/>
        <w:rPr>
          <w:rFonts w:asciiTheme="majorHAnsi" w:hAnsiTheme="majorHAnsi" w:cstheme="majorHAnsi"/>
          <w:b/>
          <w:sz w:val="24"/>
          <w:szCs w:val="24"/>
          <w:u w:val="single"/>
        </w:rPr>
      </w:pPr>
      <w:r>
        <w:rPr>
          <w:rFonts w:asciiTheme="majorHAnsi" w:hAnsiTheme="majorHAnsi" w:cstheme="majorHAnsi"/>
          <w:b/>
          <w:sz w:val="24"/>
          <w:szCs w:val="24"/>
          <w:u w:val="single"/>
        </w:rPr>
        <w:t xml:space="preserve">COMISSÃO DE </w:t>
      </w:r>
      <w:r>
        <w:rPr>
          <w:rFonts w:asciiTheme="majorHAnsi" w:hAnsiTheme="majorHAnsi" w:cstheme="majorHAnsi"/>
          <w:b/>
          <w:sz w:val="24"/>
          <w:szCs w:val="24"/>
          <w:u w:val="single"/>
        </w:rPr>
        <w:t>EDUCAÇÃO,SAÚDE</w:t>
      </w:r>
      <w:r>
        <w:rPr>
          <w:rFonts w:asciiTheme="majorHAnsi" w:hAnsiTheme="majorHAnsi" w:cstheme="majorHAnsi"/>
          <w:b/>
          <w:sz w:val="24"/>
          <w:szCs w:val="24"/>
          <w:u w:val="single"/>
        </w:rPr>
        <w:t>, CULTURA, ESPORTE E ASSISTENCIA SOCIAL</w:t>
      </w:r>
    </w:p>
    <w:p w:rsidR="002C3514" w:rsidRPr="002A7B5A" w:rsidP="002C3514" w14:paraId="575FAFD2" w14:textId="77777777">
      <w:pPr>
        <w:jc w:val="center"/>
        <w:rPr>
          <w:rFonts w:asciiTheme="majorHAnsi" w:hAnsiTheme="majorHAnsi" w:cstheme="majorHAnsi"/>
          <w:b/>
          <w:sz w:val="24"/>
          <w:szCs w:val="24"/>
          <w:u w:val="single"/>
        </w:rPr>
      </w:pPr>
    </w:p>
    <w:p w:rsidR="002C3514" w:rsidRPr="002A7B5A" w:rsidP="002C3514" w14:paraId="0CE8EA27" w14:textId="77777777">
      <w:pPr>
        <w:jc w:val="center"/>
        <w:rPr>
          <w:rFonts w:asciiTheme="majorHAnsi" w:hAnsiTheme="majorHAnsi" w:cstheme="majorHAnsi"/>
          <w:b/>
          <w:sz w:val="24"/>
          <w:szCs w:val="24"/>
          <w:u w:val="single"/>
        </w:rPr>
      </w:pPr>
    </w:p>
    <w:p w:rsidR="002C3514" w:rsidRPr="000029FE" w:rsidP="002C3514" w14:paraId="20486AD1" w14:textId="77777777">
      <w:pPr>
        <w:jc w:val="center"/>
        <w:rPr>
          <w:rFonts w:asciiTheme="majorHAnsi" w:hAnsiTheme="majorHAnsi" w:cstheme="majorHAnsi"/>
          <w:b/>
          <w:iCs/>
          <w:sz w:val="28"/>
          <w:szCs w:val="28"/>
          <w:u w:val="single"/>
        </w:rPr>
      </w:pPr>
      <w:r w:rsidRPr="000029FE">
        <w:rPr>
          <w:rFonts w:asciiTheme="majorHAnsi" w:hAnsiTheme="majorHAnsi" w:cstheme="majorHAnsi"/>
          <w:b/>
          <w:iCs/>
          <w:sz w:val="28"/>
          <w:szCs w:val="28"/>
          <w:u w:val="single"/>
        </w:rPr>
        <w:t xml:space="preserve">Vereador Ernani Luiz Donatti </w:t>
      </w:r>
      <w:r w:rsidRPr="000029FE">
        <w:rPr>
          <w:rFonts w:asciiTheme="majorHAnsi" w:hAnsiTheme="majorHAnsi" w:cstheme="majorHAnsi"/>
          <w:b/>
          <w:iCs/>
          <w:sz w:val="28"/>
          <w:szCs w:val="28"/>
          <w:u w:val="single"/>
        </w:rPr>
        <w:t>Gragnanello</w:t>
      </w:r>
      <w:r w:rsidRPr="000029FE">
        <w:rPr>
          <w:rFonts w:asciiTheme="majorHAnsi" w:hAnsiTheme="majorHAnsi" w:cstheme="majorHAnsi"/>
          <w:b/>
          <w:iCs/>
          <w:sz w:val="28"/>
          <w:szCs w:val="28"/>
          <w:u w:val="single"/>
        </w:rPr>
        <w:t xml:space="preserve"> </w:t>
      </w:r>
    </w:p>
    <w:p w:rsidR="002C3514" w:rsidRPr="002C3514" w:rsidP="002C3514" w14:paraId="1536AA2C" w14:textId="77777777">
      <w:pPr>
        <w:jc w:val="center"/>
        <w:rPr>
          <w:rFonts w:asciiTheme="majorHAnsi" w:hAnsiTheme="majorHAnsi" w:cstheme="majorHAnsi"/>
          <w:bCs/>
          <w:iCs/>
          <w:sz w:val="28"/>
          <w:szCs w:val="28"/>
        </w:rPr>
      </w:pPr>
      <w:r w:rsidRPr="002C3514">
        <w:rPr>
          <w:rFonts w:asciiTheme="majorHAnsi" w:hAnsiTheme="majorHAnsi" w:cstheme="majorHAnsi"/>
          <w:bCs/>
          <w:iCs/>
          <w:sz w:val="28"/>
          <w:szCs w:val="28"/>
        </w:rPr>
        <w:t>Presidente</w:t>
      </w:r>
    </w:p>
    <w:p w:rsidR="002C3514" w:rsidRPr="002C3514" w:rsidP="002C3514" w14:paraId="6D2B1015" w14:textId="77777777">
      <w:pPr>
        <w:jc w:val="center"/>
        <w:rPr>
          <w:rFonts w:asciiTheme="majorHAnsi" w:hAnsiTheme="majorHAnsi" w:cstheme="majorHAnsi"/>
          <w:bCs/>
          <w:iCs/>
          <w:sz w:val="28"/>
          <w:szCs w:val="28"/>
        </w:rPr>
      </w:pPr>
    </w:p>
    <w:p w:rsidR="002C3514" w:rsidRPr="000029FE" w:rsidP="002C3514" w14:paraId="2814D504" w14:textId="77777777">
      <w:pPr>
        <w:jc w:val="center"/>
        <w:rPr>
          <w:rFonts w:asciiTheme="majorHAnsi" w:hAnsiTheme="majorHAnsi" w:cstheme="majorHAnsi"/>
          <w:b/>
          <w:iCs/>
          <w:sz w:val="28"/>
          <w:szCs w:val="28"/>
          <w:u w:val="single"/>
        </w:rPr>
      </w:pPr>
      <w:r w:rsidRPr="000029FE">
        <w:rPr>
          <w:rFonts w:asciiTheme="majorHAnsi" w:hAnsiTheme="majorHAnsi" w:cstheme="majorHAnsi"/>
          <w:b/>
          <w:iCs/>
          <w:sz w:val="28"/>
          <w:szCs w:val="28"/>
          <w:u w:val="single"/>
        </w:rPr>
        <w:t xml:space="preserve">Vereador Everton Bombarda </w:t>
      </w:r>
    </w:p>
    <w:p w:rsidR="002C3514" w:rsidRPr="002C3514" w:rsidP="002C3514" w14:paraId="423CB6C5" w14:textId="77777777">
      <w:pPr>
        <w:jc w:val="center"/>
        <w:rPr>
          <w:rFonts w:asciiTheme="majorHAnsi" w:hAnsiTheme="majorHAnsi" w:cstheme="majorHAnsi"/>
          <w:bCs/>
          <w:iCs/>
          <w:sz w:val="28"/>
          <w:szCs w:val="28"/>
        </w:rPr>
      </w:pPr>
      <w:r w:rsidRPr="002C3514">
        <w:rPr>
          <w:rFonts w:asciiTheme="majorHAnsi" w:hAnsiTheme="majorHAnsi" w:cstheme="majorHAnsi"/>
          <w:bCs/>
          <w:iCs/>
          <w:sz w:val="28"/>
          <w:szCs w:val="28"/>
        </w:rPr>
        <w:t xml:space="preserve"> </w:t>
      </w:r>
      <w:r w:rsidRPr="002C3514">
        <w:rPr>
          <w:rFonts w:asciiTheme="majorHAnsi" w:hAnsiTheme="majorHAnsi" w:cstheme="majorHAnsi"/>
          <w:b/>
          <w:iCs/>
          <w:sz w:val="28"/>
          <w:szCs w:val="28"/>
        </w:rPr>
        <w:t> </w:t>
      </w:r>
      <w:r w:rsidRPr="002C3514">
        <w:rPr>
          <w:rFonts w:asciiTheme="majorHAnsi" w:hAnsiTheme="majorHAnsi" w:cstheme="majorHAnsi"/>
          <w:bCs/>
          <w:iCs/>
          <w:sz w:val="28"/>
          <w:szCs w:val="28"/>
        </w:rPr>
        <w:t xml:space="preserve">Vice-presidente </w:t>
      </w:r>
    </w:p>
    <w:p w:rsidR="002C3514" w:rsidRPr="002C3514" w:rsidP="002C3514" w14:paraId="2E3C85E0" w14:textId="77777777">
      <w:pPr>
        <w:jc w:val="center"/>
        <w:rPr>
          <w:rFonts w:asciiTheme="majorHAnsi" w:hAnsiTheme="majorHAnsi" w:cstheme="majorHAnsi"/>
          <w:bCs/>
          <w:iCs/>
          <w:sz w:val="28"/>
          <w:szCs w:val="28"/>
        </w:rPr>
      </w:pPr>
    </w:p>
    <w:p w:rsidR="002C3514" w:rsidRPr="000029FE" w:rsidP="002C3514" w14:paraId="62E8A1D6" w14:textId="77777777">
      <w:pPr>
        <w:jc w:val="center"/>
        <w:rPr>
          <w:rFonts w:asciiTheme="majorHAnsi" w:hAnsiTheme="majorHAnsi" w:cstheme="majorHAnsi"/>
          <w:b/>
          <w:iCs/>
          <w:sz w:val="28"/>
          <w:szCs w:val="28"/>
          <w:u w:val="single"/>
        </w:rPr>
      </w:pPr>
      <w:r w:rsidRPr="000029FE">
        <w:rPr>
          <w:rFonts w:asciiTheme="majorHAnsi" w:hAnsiTheme="majorHAnsi" w:cstheme="majorHAnsi"/>
          <w:b/>
          <w:iCs/>
          <w:sz w:val="28"/>
          <w:szCs w:val="28"/>
          <w:u w:val="single"/>
        </w:rPr>
        <w:t xml:space="preserve">Vereador Wilians Mendes de Oliveira </w:t>
      </w:r>
    </w:p>
    <w:p w:rsidR="002C3514" w:rsidRPr="002C3514" w:rsidP="002C3514" w14:paraId="1195892E" w14:textId="77777777">
      <w:pPr>
        <w:jc w:val="center"/>
        <w:rPr>
          <w:rFonts w:eastAsia="Arial" w:asciiTheme="majorHAnsi" w:hAnsiTheme="majorHAnsi" w:cstheme="majorHAnsi"/>
          <w:iCs/>
          <w:sz w:val="28"/>
          <w:szCs w:val="28"/>
        </w:rPr>
      </w:pPr>
      <w:r w:rsidRPr="002C3514">
        <w:rPr>
          <w:rFonts w:eastAsia="Arial" w:asciiTheme="majorHAnsi" w:hAnsiTheme="majorHAnsi" w:cstheme="majorHAnsi"/>
          <w:iCs/>
          <w:sz w:val="28"/>
          <w:szCs w:val="28"/>
        </w:rPr>
        <w:t>Membro</w:t>
      </w:r>
    </w:p>
    <w:p w:rsidR="003C56AC" w:rsidRPr="002C3514" w:rsidP="005B6271" w14:paraId="46FF9610" w14:textId="77777777">
      <w:pPr>
        <w:jc w:val="both"/>
        <w:rPr>
          <w:rFonts w:asciiTheme="majorHAnsi" w:hAnsiTheme="majorHAnsi" w:cstheme="majorHAnsi"/>
          <w:b/>
          <w:color w:val="000000"/>
          <w:sz w:val="28"/>
          <w:szCs w:val="28"/>
          <w:u w:val="single"/>
        </w:rPr>
      </w:pPr>
    </w:p>
    <w:sectPr w:rsidSect="00103727">
      <w:headerReference w:type="even" r:id="rId5"/>
      <w:headerReference w:type="default" r:id="rId6"/>
      <w:footerReference w:type="default" r:id="rId7"/>
      <w:pgSz w:w="11907" w:h="16840"/>
      <w:pgMar w:top="1701" w:right="1134" w:bottom="851"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A56A53" w:rsidP="008A537A" w14:paraId="0B9007C4" w14:textId="77777777">
    <w:pPr>
      <w:pBdr>
        <w:top w:val="nil"/>
        <w:left w:val="nil"/>
        <w:bottom w:val="nil"/>
        <w:right w:val="nil"/>
        <w:between w:val="nil"/>
      </w:pBdr>
      <w:ind w:right="360"/>
      <w:jc w:val="center"/>
      <w:rPr>
        <w:rFonts w:ascii="Bookman Old Style" w:eastAsia="Arial" w:hAnsi="Bookman Old Style" w:cs="Arial"/>
        <w:b/>
        <w:color w:val="000000"/>
        <w:sz w:val="32"/>
        <w:szCs w:val="32"/>
      </w:rPr>
    </w:pPr>
  </w:p>
  <w:p w:rsidR="00A56A53" w:rsidRPr="001A7AAC" w:rsidP="00A56A53" w14:paraId="3172C360" w14:textId="76E2E8C1">
    <w:pPr>
      <w:pStyle w:val="Cabealho1"/>
      <w:tabs>
        <w:tab w:val="clear" w:pos="4419"/>
        <w:tab w:val="right" w:pos="7513"/>
        <w:tab w:val="clear" w:pos="8838"/>
      </w:tabs>
      <w:jc w:val="center"/>
      <w:rPr>
        <w:rFonts w:ascii="Bookman Old Style" w:hAnsi="Bookman Old Style"/>
        <w:b/>
      </w:rPr>
    </w:pPr>
    <w:r w:rsidRPr="00A56A53">
      <w:rPr>
        <w:rFonts w:ascii="Bookman Old Style" w:hAnsi="Bookman Old Style"/>
        <w:b/>
        <w:bCs/>
      </w:rPr>
      <w:t xml:space="preserve"> </w:t>
    </w:r>
  </w:p>
  <w:p w:rsidR="00FD2743" w:rsidRPr="00FD2743" w:rsidP="008A537A" w14:paraId="7A598125" w14:textId="54BEA953">
    <w:pPr>
      <w:pBdr>
        <w:top w:val="nil"/>
        <w:left w:val="nil"/>
        <w:bottom w:val="nil"/>
        <w:right w:val="nil"/>
        <w:between w:val="nil"/>
      </w:pBdr>
      <w:ind w:right="360"/>
      <w:jc w:val="center"/>
      <w:rPr>
        <w:rFonts w:ascii="Bookman Old Style" w:eastAsia="Arial" w:hAnsi="Bookman Old Style" w:cs="Arial"/>
        <w:b/>
        <w:color w:val="000000"/>
        <w:sz w:val="24"/>
        <w:szCs w:val="24"/>
      </w:rPr>
    </w:pP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F14BC"/>
    <w:multiLevelType w:val="multilevel"/>
    <w:tmpl w:val="4DF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45C3D0D"/>
    <w:multiLevelType w:val="multilevel"/>
    <w:tmpl w:val="BAD62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C317FB"/>
    <w:multiLevelType w:val="multilevel"/>
    <w:tmpl w:val="4F2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F0698"/>
    <w:multiLevelType w:val="multilevel"/>
    <w:tmpl w:val="3AB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D6DCE"/>
    <w:multiLevelType w:val="multilevel"/>
    <w:tmpl w:val="6B5C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445746"/>
    <w:multiLevelType w:val="hybridMultilevel"/>
    <w:tmpl w:val="F2F8BD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F36F9A"/>
    <w:multiLevelType w:val="multilevel"/>
    <w:tmpl w:val="56FE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FD4B1B"/>
    <w:multiLevelType w:val="multilevel"/>
    <w:tmpl w:val="1752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7B2D93"/>
    <w:multiLevelType w:val="multilevel"/>
    <w:tmpl w:val="1DB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8E0720"/>
    <w:multiLevelType w:val="hybridMultilevel"/>
    <w:tmpl w:val="EDEC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944045"/>
    <w:multiLevelType w:val="multilevel"/>
    <w:tmpl w:val="8EC6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06474C"/>
    <w:multiLevelType w:val="multilevel"/>
    <w:tmpl w:val="DF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24047E"/>
    <w:multiLevelType w:val="multilevel"/>
    <w:tmpl w:val="20C0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1E51F7"/>
    <w:multiLevelType w:val="multilevel"/>
    <w:tmpl w:val="62C2370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6E5F0424"/>
    <w:multiLevelType w:val="multilevel"/>
    <w:tmpl w:val="F3E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E66D35"/>
    <w:multiLevelType w:val="multilevel"/>
    <w:tmpl w:val="D80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1A555F"/>
    <w:multiLevelType w:val="multilevel"/>
    <w:tmpl w:val="B9B2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1B66E1"/>
    <w:multiLevelType w:val="multilevel"/>
    <w:tmpl w:val="42F4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A33584"/>
    <w:multiLevelType w:val="multilevel"/>
    <w:tmpl w:val="8460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FE4FEF"/>
    <w:multiLevelType w:val="multilevel"/>
    <w:tmpl w:val="93B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2"/>
  </w:num>
  <w:num w:numId="4">
    <w:abstractNumId w:val="10"/>
  </w:num>
  <w:num w:numId="5">
    <w:abstractNumId w:val="26"/>
  </w:num>
  <w:num w:numId="6">
    <w:abstractNumId w:val="32"/>
  </w:num>
  <w:num w:numId="7">
    <w:abstractNumId w:val="5"/>
  </w:num>
  <w:num w:numId="8">
    <w:abstractNumId w:val="12"/>
  </w:num>
  <w:num w:numId="9">
    <w:abstractNumId w:val="9"/>
  </w:num>
  <w:num w:numId="10">
    <w:abstractNumId w:val="7"/>
  </w:num>
  <w:num w:numId="11">
    <w:abstractNumId w:val="6"/>
  </w:num>
  <w:num w:numId="12">
    <w:abstractNumId w:val="17"/>
  </w:num>
  <w:num w:numId="13">
    <w:abstractNumId w:val="0"/>
  </w:num>
  <w:num w:numId="14">
    <w:abstractNumId w:val="4"/>
  </w:num>
  <w:num w:numId="15">
    <w:abstractNumId w:val="25"/>
  </w:num>
  <w:num w:numId="16">
    <w:abstractNumId w:val="22"/>
  </w:num>
  <w:num w:numId="17">
    <w:abstractNumId w:val="8"/>
  </w:num>
  <w:num w:numId="18">
    <w:abstractNumId w:val="14"/>
  </w:num>
  <w:num w:numId="19">
    <w:abstractNumId w:val="27"/>
  </w:num>
  <w:num w:numId="20">
    <w:abstractNumId w:val="1"/>
  </w:num>
  <w:num w:numId="21">
    <w:abstractNumId w:val="23"/>
  </w:num>
  <w:num w:numId="22">
    <w:abstractNumId w:val="3"/>
  </w:num>
  <w:num w:numId="23">
    <w:abstractNumId w:val="18"/>
  </w:num>
  <w:num w:numId="24">
    <w:abstractNumId w:val="20"/>
  </w:num>
  <w:num w:numId="25">
    <w:abstractNumId w:val="29"/>
  </w:num>
  <w:num w:numId="26">
    <w:abstractNumId w:val="28"/>
  </w:num>
  <w:num w:numId="27">
    <w:abstractNumId w:val="34"/>
  </w:num>
  <w:num w:numId="28">
    <w:abstractNumId w:val="19"/>
  </w:num>
  <w:num w:numId="29">
    <w:abstractNumId w:val="33"/>
  </w:num>
  <w:num w:numId="30">
    <w:abstractNumId w:val="13"/>
  </w:num>
  <w:num w:numId="31">
    <w:abstractNumId w:val="24"/>
  </w:num>
  <w:num w:numId="32">
    <w:abstractNumId w:val="21"/>
  </w:num>
  <w:num w:numId="33">
    <w:abstractNumId w:val="16"/>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69"/>
    <w:rsid w:val="000029FE"/>
    <w:rsid w:val="00021AB3"/>
    <w:rsid w:val="00021B2B"/>
    <w:rsid w:val="00026797"/>
    <w:rsid w:val="00037531"/>
    <w:rsid w:val="00041A2D"/>
    <w:rsid w:val="00042E80"/>
    <w:rsid w:val="00044245"/>
    <w:rsid w:val="000472EF"/>
    <w:rsid w:val="00063E7D"/>
    <w:rsid w:val="00064FC8"/>
    <w:rsid w:val="00070FE7"/>
    <w:rsid w:val="00071EF2"/>
    <w:rsid w:val="0008150E"/>
    <w:rsid w:val="00093424"/>
    <w:rsid w:val="000950D7"/>
    <w:rsid w:val="00096F36"/>
    <w:rsid w:val="000A1377"/>
    <w:rsid w:val="000A1BE0"/>
    <w:rsid w:val="000C3715"/>
    <w:rsid w:val="000E49AD"/>
    <w:rsid w:val="000F1F6F"/>
    <w:rsid w:val="000F4933"/>
    <w:rsid w:val="001025C3"/>
    <w:rsid w:val="00103727"/>
    <w:rsid w:val="00105B00"/>
    <w:rsid w:val="00114B97"/>
    <w:rsid w:val="00126AE5"/>
    <w:rsid w:val="0015590E"/>
    <w:rsid w:val="00163F50"/>
    <w:rsid w:val="001650C5"/>
    <w:rsid w:val="001721C9"/>
    <w:rsid w:val="00173831"/>
    <w:rsid w:val="00177254"/>
    <w:rsid w:val="00181506"/>
    <w:rsid w:val="00187FC6"/>
    <w:rsid w:val="00192536"/>
    <w:rsid w:val="0019515C"/>
    <w:rsid w:val="001A23DA"/>
    <w:rsid w:val="001A3CE4"/>
    <w:rsid w:val="001A6144"/>
    <w:rsid w:val="001A7AAC"/>
    <w:rsid w:val="001B7303"/>
    <w:rsid w:val="001D58BD"/>
    <w:rsid w:val="00200D5D"/>
    <w:rsid w:val="0020148D"/>
    <w:rsid w:val="0020165D"/>
    <w:rsid w:val="00202BEB"/>
    <w:rsid w:val="002118A5"/>
    <w:rsid w:val="00213987"/>
    <w:rsid w:val="00227E2C"/>
    <w:rsid w:val="00234376"/>
    <w:rsid w:val="0025249E"/>
    <w:rsid w:val="0027672A"/>
    <w:rsid w:val="0028628E"/>
    <w:rsid w:val="00291486"/>
    <w:rsid w:val="00291834"/>
    <w:rsid w:val="00297379"/>
    <w:rsid w:val="002A0A87"/>
    <w:rsid w:val="002A2BD3"/>
    <w:rsid w:val="002A7B5A"/>
    <w:rsid w:val="002B71AC"/>
    <w:rsid w:val="002C1290"/>
    <w:rsid w:val="002C3514"/>
    <w:rsid w:val="002D45A0"/>
    <w:rsid w:val="002D4B59"/>
    <w:rsid w:val="002D6BB3"/>
    <w:rsid w:val="002E3DBB"/>
    <w:rsid w:val="002E49EF"/>
    <w:rsid w:val="002E578B"/>
    <w:rsid w:val="002F3157"/>
    <w:rsid w:val="002F34B4"/>
    <w:rsid w:val="003121C8"/>
    <w:rsid w:val="00314B47"/>
    <w:rsid w:val="00322469"/>
    <w:rsid w:val="00323AFA"/>
    <w:rsid w:val="003436EC"/>
    <w:rsid w:val="00346786"/>
    <w:rsid w:val="00362E04"/>
    <w:rsid w:val="0037036B"/>
    <w:rsid w:val="00370D25"/>
    <w:rsid w:val="00371A69"/>
    <w:rsid w:val="0037282E"/>
    <w:rsid w:val="00377564"/>
    <w:rsid w:val="0038129E"/>
    <w:rsid w:val="00381C00"/>
    <w:rsid w:val="003826AE"/>
    <w:rsid w:val="00384D96"/>
    <w:rsid w:val="00393C7C"/>
    <w:rsid w:val="003A21E1"/>
    <w:rsid w:val="003A5737"/>
    <w:rsid w:val="003A796B"/>
    <w:rsid w:val="003B1A59"/>
    <w:rsid w:val="003C56AC"/>
    <w:rsid w:val="003C6BCB"/>
    <w:rsid w:val="003D0B59"/>
    <w:rsid w:val="003D6D21"/>
    <w:rsid w:val="003F0B47"/>
    <w:rsid w:val="003F59C5"/>
    <w:rsid w:val="003F5AED"/>
    <w:rsid w:val="00405098"/>
    <w:rsid w:val="004118E3"/>
    <w:rsid w:val="00446FA1"/>
    <w:rsid w:val="00456770"/>
    <w:rsid w:val="00464667"/>
    <w:rsid w:val="00480C81"/>
    <w:rsid w:val="004827D3"/>
    <w:rsid w:val="00495711"/>
    <w:rsid w:val="00496963"/>
    <w:rsid w:val="00497A43"/>
    <w:rsid w:val="004A7437"/>
    <w:rsid w:val="004B6FDF"/>
    <w:rsid w:val="004D46DA"/>
    <w:rsid w:val="004E140E"/>
    <w:rsid w:val="004E458F"/>
    <w:rsid w:val="004E6092"/>
    <w:rsid w:val="005010DF"/>
    <w:rsid w:val="005066C3"/>
    <w:rsid w:val="005169B0"/>
    <w:rsid w:val="005242B1"/>
    <w:rsid w:val="00543E03"/>
    <w:rsid w:val="0055000D"/>
    <w:rsid w:val="0055078E"/>
    <w:rsid w:val="005559D9"/>
    <w:rsid w:val="0055728D"/>
    <w:rsid w:val="00560703"/>
    <w:rsid w:val="00561AAD"/>
    <w:rsid w:val="00571662"/>
    <w:rsid w:val="0057515A"/>
    <w:rsid w:val="00590AA1"/>
    <w:rsid w:val="0059215B"/>
    <w:rsid w:val="005A235E"/>
    <w:rsid w:val="005B27A9"/>
    <w:rsid w:val="005B524F"/>
    <w:rsid w:val="005B5870"/>
    <w:rsid w:val="005B6271"/>
    <w:rsid w:val="005B766F"/>
    <w:rsid w:val="005D21C6"/>
    <w:rsid w:val="005E491E"/>
    <w:rsid w:val="005F2654"/>
    <w:rsid w:val="005F4E55"/>
    <w:rsid w:val="005F54DA"/>
    <w:rsid w:val="00603CE4"/>
    <w:rsid w:val="00613747"/>
    <w:rsid w:val="00617393"/>
    <w:rsid w:val="00620972"/>
    <w:rsid w:val="006553FA"/>
    <w:rsid w:val="00655A35"/>
    <w:rsid w:val="006575C7"/>
    <w:rsid w:val="00657B9A"/>
    <w:rsid w:val="006834FE"/>
    <w:rsid w:val="00696B1C"/>
    <w:rsid w:val="00697874"/>
    <w:rsid w:val="006A54A9"/>
    <w:rsid w:val="006A762A"/>
    <w:rsid w:val="006A7C55"/>
    <w:rsid w:val="006C2150"/>
    <w:rsid w:val="006D1946"/>
    <w:rsid w:val="006D20E0"/>
    <w:rsid w:val="006E3A0E"/>
    <w:rsid w:val="006F48DD"/>
    <w:rsid w:val="00700836"/>
    <w:rsid w:val="007038AD"/>
    <w:rsid w:val="0071111B"/>
    <w:rsid w:val="007118E3"/>
    <w:rsid w:val="00735423"/>
    <w:rsid w:val="00746224"/>
    <w:rsid w:val="00753ABE"/>
    <w:rsid w:val="007556D8"/>
    <w:rsid w:val="00773AD7"/>
    <w:rsid w:val="0078178E"/>
    <w:rsid w:val="00781F03"/>
    <w:rsid w:val="00784CD4"/>
    <w:rsid w:val="00785E1B"/>
    <w:rsid w:val="007A08D1"/>
    <w:rsid w:val="007A6DE6"/>
    <w:rsid w:val="007B2789"/>
    <w:rsid w:val="007B6058"/>
    <w:rsid w:val="007C6029"/>
    <w:rsid w:val="007D4B66"/>
    <w:rsid w:val="007E2CFA"/>
    <w:rsid w:val="00804434"/>
    <w:rsid w:val="008067CE"/>
    <w:rsid w:val="0081335D"/>
    <w:rsid w:val="00820F79"/>
    <w:rsid w:val="00842408"/>
    <w:rsid w:val="00847E14"/>
    <w:rsid w:val="00855DD2"/>
    <w:rsid w:val="008572E2"/>
    <w:rsid w:val="00863D24"/>
    <w:rsid w:val="00864928"/>
    <w:rsid w:val="00881E60"/>
    <w:rsid w:val="008905C2"/>
    <w:rsid w:val="008A3797"/>
    <w:rsid w:val="008A537A"/>
    <w:rsid w:val="008C08C5"/>
    <w:rsid w:val="008C125D"/>
    <w:rsid w:val="008C4AA2"/>
    <w:rsid w:val="008D1CC8"/>
    <w:rsid w:val="008D32D0"/>
    <w:rsid w:val="008E1495"/>
    <w:rsid w:val="00902EE1"/>
    <w:rsid w:val="009048A2"/>
    <w:rsid w:val="00904ADF"/>
    <w:rsid w:val="00914ADC"/>
    <w:rsid w:val="00920A3F"/>
    <w:rsid w:val="00925E1A"/>
    <w:rsid w:val="0095299D"/>
    <w:rsid w:val="00963725"/>
    <w:rsid w:val="009709EF"/>
    <w:rsid w:val="009777FD"/>
    <w:rsid w:val="0098102A"/>
    <w:rsid w:val="00994873"/>
    <w:rsid w:val="00996280"/>
    <w:rsid w:val="00996888"/>
    <w:rsid w:val="009C5F02"/>
    <w:rsid w:val="009D56B8"/>
    <w:rsid w:val="009D6B7C"/>
    <w:rsid w:val="00A00E3E"/>
    <w:rsid w:val="00A030E7"/>
    <w:rsid w:val="00A12DD9"/>
    <w:rsid w:val="00A164DC"/>
    <w:rsid w:val="00A27446"/>
    <w:rsid w:val="00A41011"/>
    <w:rsid w:val="00A479DE"/>
    <w:rsid w:val="00A54C3D"/>
    <w:rsid w:val="00A56A53"/>
    <w:rsid w:val="00A60DF1"/>
    <w:rsid w:val="00A624E6"/>
    <w:rsid w:val="00A672C0"/>
    <w:rsid w:val="00A67DE2"/>
    <w:rsid w:val="00A71DDA"/>
    <w:rsid w:val="00A72935"/>
    <w:rsid w:val="00A81629"/>
    <w:rsid w:val="00A81939"/>
    <w:rsid w:val="00A8374C"/>
    <w:rsid w:val="00A848B7"/>
    <w:rsid w:val="00A92E38"/>
    <w:rsid w:val="00AA4A22"/>
    <w:rsid w:val="00AB07E7"/>
    <w:rsid w:val="00AB5A42"/>
    <w:rsid w:val="00AD2770"/>
    <w:rsid w:val="00AE2868"/>
    <w:rsid w:val="00AE5858"/>
    <w:rsid w:val="00AF0C05"/>
    <w:rsid w:val="00AF3296"/>
    <w:rsid w:val="00AF4AC7"/>
    <w:rsid w:val="00B011DA"/>
    <w:rsid w:val="00B07CA3"/>
    <w:rsid w:val="00B13198"/>
    <w:rsid w:val="00B4634D"/>
    <w:rsid w:val="00B57090"/>
    <w:rsid w:val="00B61EE5"/>
    <w:rsid w:val="00BA48C7"/>
    <w:rsid w:val="00BD04BA"/>
    <w:rsid w:val="00BD0689"/>
    <w:rsid w:val="00BD0BDA"/>
    <w:rsid w:val="00BD2CA7"/>
    <w:rsid w:val="00BE1408"/>
    <w:rsid w:val="00BE41D6"/>
    <w:rsid w:val="00BE6938"/>
    <w:rsid w:val="00BF2A6F"/>
    <w:rsid w:val="00BF5F2C"/>
    <w:rsid w:val="00C0516E"/>
    <w:rsid w:val="00C10154"/>
    <w:rsid w:val="00C40D44"/>
    <w:rsid w:val="00C72739"/>
    <w:rsid w:val="00C74E3F"/>
    <w:rsid w:val="00C75973"/>
    <w:rsid w:val="00C8120E"/>
    <w:rsid w:val="00C829EC"/>
    <w:rsid w:val="00C92CF1"/>
    <w:rsid w:val="00CA059F"/>
    <w:rsid w:val="00CA4280"/>
    <w:rsid w:val="00CA4349"/>
    <w:rsid w:val="00CA6258"/>
    <w:rsid w:val="00CB5D49"/>
    <w:rsid w:val="00CB677E"/>
    <w:rsid w:val="00CC3E72"/>
    <w:rsid w:val="00CF288D"/>
    <w:rsid w:val="00D17E31"/>
    <w:rsid w:val="00D233F3"/>
    <w:rsid w:val="00D33D19"/>
    <w:rsid w:val="00D52DAE"/>
    <w:rsid w:val="00D543E6"/>
    <w:rsid w:val="00D635A7"/>
    <w:rsid w:val="00D66197"/>
    <w:rsid w:val="00D676B0"/>
    <w:rsid w:val="00D735E2"/>
    <w:rsid w:val="00D80A2E"/>
    <w:rsid w:val="00D81BDB"/>
    <w:rsid w:val="00D85714"/>
    <w:rsid w:val="00D9258F"/>
    <w:rsid w:val="00D92A0C"/>
    <w:rsid w:val="00DA6E69"/>
    <w:rsid w:val="00DA7AB4"/>
    <w:rsid w:val="00DB5081"/>
    <w:rsid w:val="00DB75E8"/>
    <w:rsid w:val="00DC32F0"/>
    <w:rsid w:val="00DE2A9A"/>
    <w:rsid w:val="00DE7BEA"/>
    <w:rsid w:val="00DF45BD"/>
    <w:rsid w:val="00DF605F"/>
    <w:rsid w:val="00E11ECC"/>
    <w:rsid w:val="00E13E96"/>
    <w:rsid w:val="00E17B64"/>
    <w:rsid w:val="00E263E7"/>
    <w:rsid w:val="00E27D0C"/>
    <w:rsid w:val="00E3543A"/>
    <w:rsid w:val="00E43449"/>
    <w:rsid w:val="00E45790"/>
    <w:rsid w:val="00E457DF"/>
    <w:rsid w:val="00E57571"/>
    <w:rsid w:val="00E57668"/>
    <w:rsid w:val="00E7438B"/>
    <w:rsid w:val="00E80CA9"/>
    <w:rsid w:val="00E81D6E"/>
    <w:rsid w:val="00E93738"/>
    <w:rsid w:val="00E975D6"/>
    <w:rsid w:val="00EA0447"/>
    <w:rsid w:val="00EA375D"/>
    <w:rsid w:val="00EA4E83"/>
    <w:rsid w:val="00EB1570"/>
    <w:rsid w:val="00EB3C9A"/>
    <w:rsid w:val="00EC5677"/>
    <w:rsid w:val="00EC6DE7"/>
    <w:rsid w:val="00ED7D93"/>
    <w:rsid w:val="00EE457C"/>
    <w:rsid w:val="00EE5EAD"/>
    <w:rsid w:val="00EE746A"/>
    <w:rsid w:val="00EF4A37"/>
    <w:rsid w:val="00EF4DE4"/>
    <w:rsid w:val="00EF630E"/>
    <w:rsid w:val="00F069F9"/>
    <w:rsid w:val="00F10F57"/>
    <w:rsid w:val="00F13148"/>
    <w:rsid w:val="00F17DF2"/>
    <w:rsid w:val="00F21F60"/>
    <w:rsid w:val="00F2617F"/>
    <w:rsid w:val="00F304D4"/>
    <w:rsid w:val="00F42F8D"/>
    <w:rsid w:val="00F518B8"/>
    <w:rsid w:val="00F52B2B"/>
    <w:rsid w:val="00F54B63"/>
    <w:rsid w:val="00F55E24"/>
    <w:rsid w:val="00F63B09"/>
    <w:rsid w:val="00F6470D"/>
    <w:rsid w:val="00F655D1"/>
    <w:rsid w:val="00F7241A"/>
    <w:rsid w:val="00F733EC"/>
    <w:rsid w:val="00F74441"/>
    <w:rsid w:val="00F80A2B"/>
    <w:rsid w:val="00F83282"/>
    <w:rsid w:val="00F91A1F"/>
    <w:rsid w:val="00F921DB"/>
    <w:rsid w:val="00F9588D"/>
    <w:rsid w:val="00FA65BC"/>
    <w:rsid w:val="00FD0D71"/>
    <w:rsid w:val="00FD2743"/>
    <w:rsid w:val="00FD367D"/>
    <w:rsid w:val="00FE10EC"/>
    <w:rsid w:val="00FE34F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paragraph" w:customStyle="1" w:styleId="Cabealho1">
    <w:name w:val="Cabeçalho1"/>
    <w:basedOn w:val="Normal"/>
    <w:rsid w:val="00A56A53"/>
    <w:pPr>
      <w:tabs>
        <w:tab w:val="center" w:pos="4419"/>
        <w:tab w:val="right" w:pos="8838"/>
      </w:tabs>
      <w:suppressAutoHyphens/>
    </w:pPr>
  </w:style>
  <w:style w:type="paragraph" w:styleId="NoSpacing">
    <w:name w:val="No Spacing"/>
    <w:uiPriority w:val="1"/>
    <w:qFormat/>
    <w:rsid w:val="00617393"/>
  </w:style>
  <w:style w:type="character" w:customStyle="1" w:styleId="mord">
    <w:name w:val="mord"/>
    <w:basedOn w:val="DefaultParagraphFont"/>
    <w:rsid w:val="00A8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F638-193A-4B57-A07F-60F7D19A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1085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4</cp:revision>
  <cp:lastPrinted>2025-10-15T14:34:00Z</cp:lastPrinted>
  <dcterms:created xsi:type="dcterms:W3CDTF">2025-11-25T18:45:00Z</dcterms:created>
  <dcterms:modified xsi:type="dcterms:W3CDTF">2025-11-26T12:09:00Z</dcterms:modified>
</cp:coreProperties>
</file>