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0" w:name="_GoBack"/>
      <w:bookmarkEnd w:id="0"/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DC2FDF">
        <w:rPr>
          <w:rFonts w:asciiTheme="majorHAnsi" w:hAnsiTheme="majorHAnsi" w:cstheme="majorHAnsi"/>
          <w:b/>
          <w:sz w:val="24"/>
          <w:szCs w:val="24"/>
        </w:rPr>
        <w:t>2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C2FD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Complementar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A375DD">
        <w:rPr>
          <w:rFonts w:asciiTheme="majorHAnsi" w:hAnsiTheme="majorHAnsi" w:cstheme="majorHAnsi"/>
          <w:b/>
          <w:color w:val="000000"/>
          <w:sz w:val="24"/>
          <w:szCs w:val="24"/>
        </w:rPr>
        <w:t>º 20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0A715C">
        <w:rPr>
          <w:rFonts w:asciiTheme="majorHAnsi" w:hAnsiTheme="majorHAnsi" w:cstheme="majorHAnsi"/>
          <w:b/>
          <w:color w:val="000000"/>
          <w:sz w:val="24"/>
          <w:szCs w:val="24"/>
        </w:rPr>
        <w:t>º 204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Lei </w:t>
      </w:r>
      <w:r w:rsidR="008C0101">
        <w:rPr>
          <w:rFonts w:asciiTheme="majorHAnsi" w:hAnsiTheme="majorHAnsi" w:cstheme="majorHAnsi"/>
          <w:sz w:val="24"/>
          <w:szCs w:val="24"/>
        </w:rPr>
        <w:t>Complementar nº 2</w:t>
      </w:r>
      <w:r w:rsidR="00A375DD">
        <w:rPr>
          <w:rFonts w:asciiTheme="majorHAnsi" w:hAnsiTheme="majorHAnsi" w:cstheme="majorHAnsi"/>
          <w:sz w:val="24"/>
          <w:szCs w:val="24"/>
        </w:rPr>
        <w:t>0</w:t>
      </w:r>
      <w:r w:rsidRPr="00A55914" w:rsidR="00A55914">
        <w:rPr>
          <w:rFonts w:asciiTheme="majorHAnsi" w:hAnsiTheme="majorHAnsi" w:cstheme="majorHAnsi"/>
          <w:sz w:val="24"/>
          <w:szCs w:val="24"/>
        </w:rPr>
        <w:t>/2025, de autoria da Mesa Diretora da Câmara Municipal, sob relatoria do Vereador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42C17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A55914" w:rsidR="00A55914">
        <w:rPr>
          <w:rFonts w:asciiTheme="majorHAnsi" w:hAnsiTheme="majorHAnsi" w:cstheme="majorHAnsi"/>
          <w:sz w:val="24"/>
          <w:szCs w:val="24"/>
        </w:rPr>
        <w:t>O P</w:t>
      </w:r>
      <w:r w:rsidR="008C0101">
        <w:rPr>
          <w:rFonts w:asciiTheme="majorHAnsi" w:hAnsiTheme="majorHAnsi" w:cstheme="majorHAnsi"/>
          <w:sz w:val="24"/>
          <w:szCs w:val="24"/>
        </w:rPr>
        <w:t>rojeto de Lei Complementar nº 2</w:t>
      </w:r>
      <w:r w:rsidR="00A375DD">
        <w:rPr>
          <w:rFonts w:asciiTheme="majorHAnsi" w:hAnsiTheme="majorHAnsi" w:cstheme="majorHAnsi"/>
          <w:sz w:val="24"/>
          <w:szCs w:val="24"/>
        </w:rPr>
        <w:t>0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/2025, de autoria da Mesa Diretora da Câmara Municipal de Mogi Mirim, </w:t>
      </w:r>
      <w:r w:rsidR="008C0101">
        <w:rPr>
          <w:rFonts w:asciiTheme="majorHAnsi" w:hAnsiTheme="majorHAnsi" w:cstheme="majorHAnsi"/>
          <w:sz w:val="24"/>
          <w:szCs w:val="24"/>
        </w:rPr>
        <w:t>t</w:t>
      </w:r>
      <w:r w:rsidRPr="008C0101" w:rsidR="008C0101">
        <w:rPr>
          <w:rFonts w:asciiTheme="majorHAnsi" w:hAnsiTheme="majorHAnsi" w:cstheme="majorHAnsi"/>
          <w:sz w:val="24"/>
          <w:szCs w:val="24"/>
        </w:rPr>
        <w:t xml:space="preserve">em por </w:t>
      </w:r>
      <w:r w:rsidRPr="00F42C17">
        <w:rPr>
          <w:rFonts w:asciiTheme="majorHAnsi" w:hAnsiTheme="majorHAnsi" w:cstheme="majorHAnsi"/>
          <w:sz w:val="24"/>
          <w:szCs w:val="24"/>
        </w:rPr>
        <w:t>objetivo a criação do Cargo em Comissão de Assessor de Desenvolvimento de Sistemas, Referência 44, no Quadro de Pessoal da Câmara Municipal.</w:t>
      </w:r>
    </w:p>
    <w:p w:rsidR="00F42C17" w:rsidP="00F42C1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F42C17" w:rsidRPr="00F42C17" w:rsidP="00F42C17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F42C17">
        <w:rPr>
          <w:rFonts w:asciiTheme="majorHAnsi" w:hAnsiTheme="majorHAnsi" w:cstheme="majorHAnsi"/>
          <w:sz w:val="24"/>
          <w:szCs w:val="24"/>
        </w:rPr>
        <w:t>A propositura visa atender à crescente demanda por soluções tecnológicas eficientes e suprir a necessidade de uma liderança técnica e estratégica que possa coordenar os projetos de Tecnologia da Informação. A Justificativa aponta a possibilidade de desligamento do único servidor efetivo que atua na área, o que poderia causar uma situação de insegurança quanto ao funcionamento dos sistemas da Câmara.</w:t>
      </w:r>
    </w:p>
    <w:p w:rsidR="00F42C17" w:rsidRPr="00F42C17" w:rsidP="00F42C1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F42C17" w:rsidRPr="00F42C17" w:rsidP="00F42C17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F42C17">
        <w:rPr>
          <w:rFonts w:asciiTheme="majorHAnsi" w:hAnsiTheme="majorHAnsi" w:cstheme="majorHAnsi"/>
          <w:sz w:val="24"/>
          <w:szCs w:val="24"/>
        </w:rPr>
        <w:t>O cargo criado é de natureza comissionada, destinado a funções de direção, chefia e assessoramento, conforme o Art. 37, inciso V, da Constituição Federal, com atribuições que incluem coordenação e supervisão de equipe, planejamento estratégico de TI, gerenciamento de projetos de software e atuação como ponto focal técnico em projetos de alta complexidade.</w:t>
      </w:r>
    </w:p>
    <w:p w:rsidR="00F42C17" w:rsidRPr="00F42C17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F42C17" w:rsidRPr="00C56DF7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 xml:space="preserve">a comissão de Justiça e Redação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983B49">
        <w:rPr>
          <w:rFonts w:asciiTheme="majorHAnsi" w:hAnsiTheme="majorHAnsi" w:cstheme="majorHAnsi"/>
        </w:rPr>
        <w:t>Pareceres F</w:t>
      </w:r>
      <w:r w:rsidR="00A55914">
        <w:rPr>
          <w:rFonts w:asciiTheme="majorHAnsi" w:hAnsiTheme="majorHAnsi" w:cstheme="majorHAnsi"/>
        </w:rPr>
        <w:t>avorável do ponto de vista legal/constitucional</w:t>
      </w:r>
      <w:r w:rsidRPr="00BF47AD" w:rsidR="00BF47AD">
        <w:rPr>
          <w:rFonts w:asciiTheme="majorHAnsi" w:hAnsiTheme="majorHAnsi" w:cstheme="majorHAnsi"/>
        </w:rPr>
        <w:t>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BF47AD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No tocante ao aspecto orçamentário/financeiro a criação de empregos públicos inevitavelmente acarretará a geração de despesas continuadas/fixas visando cobrir os gastos com pagamento de salários, encargos, benefícios, etc. </w:t>
      </w:r>
    </w:p>
    <w:p w:rsidR="00C0742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766595" w:rsidP="00C0742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Nesta toada, o vereador Wagner Ricardo Pereira solicitou à contadora da casa, que fosse apresentado o impacto financeiro da proposta. Em resposta à solicitação, a servidora responsável pelo setor encaminhou para esta comissão o Ofício nº 13/2025 – CONT/RH discorrendo sobre o assunto.</w:t>
      </w:r>
    </w:p>
    <w:p w:rsidR="00766595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17FE4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>
        <w:rPr>
          <w:rFonts w:asciiTheme="majorHAnsi" w:hAnsiTheme="majorHAnsi" w:cstheme="majorHAnsi"/>
        </w:rPr>
        <w:t>Válido antecipar que, concomitantemente com este Projeto de Lei Complementar, tramitam mais 3 processos da autoria da Mesa Diretora que versam sobre alterações no quadro de funcionários da Câmara. A saber: P</w:t>
      </w:r>
      <w:r w:rsidR="003F711A">
        <w:rPr>
          <w:rFonts w:asciiTheme="majorHAnsi" w:hAnsiTheme="majorHAnsi" w:cstheme="majorHAnsi"/>
        </w:rPr>
        <w:t>rojeto de Lei Complementar nº 22</w:t>
      </w:r>
      <w:r>
        <w:rPr>
          <w:rFonts w:asciiTheme="majorHAnsi" w:hAnsiTheme="majorHAnsi" w:cstheme="majorHAnsi"/>
        </w:rPr>
        <w:t>/2025 –</w:t>
      </w:r>
      <w:r w:rsidR="003F711A">
        <w:rPr>
          <w:rFonts w:asciiTheme="majorHAnsi" w:hAnsiTheme="majorHAnsi" w:cstheme="majorHAnsi"/>
        </w:rPr>
        <w:t xml:space="preserve"> Amplia</w:t>
      </w:r>
      <w:r w:rsidRPr="003F711A" w:rsidR="003F711A">
        <w:rPr>
          <w:rFonts w:asciiTheme="majorHAnsi" w:hAnsiTheme="majorHAnsi" w:cstheme="majorHAnsi"/>
        </w:rPr>
        <w:t xml:space="preserve"> em duas vagas o número de cargo</w:t>
      </w:r>
      <w:r w:rsidR="003F711A">
        <w:rPr>
          <w:rFonts w:asciiTheme="majorHAnsi" w:hAnsiTheme="majorHAnsi" w:cstheme="majorHAnsi"/>
        </w:rPr>
        <w:t>s de Assessor Parlamentar;</w:t>
      </w:r>
      <w:r>
        <w:rPr>
          <w:rFonts w:asciiTheme="majorHAnsi" w:hAnsiTheme="majorHAnsi" w:cstheme="majorHAnsi"/>
        </w:rPr>
        <w:t xml:space="preserve"> Projeto de Lei Complementar nº 21/2025 – Alterações da lei dos empregos públicos de Diretor Geral e Controlador Interno, e; </w:t>
      </w:r>
      <w:r>
        <w:rPr>
          <w:rFonts w:asciiTheme="majorHAnsi" w:hAnsiTheme="majorHAnsi" w:cstheme="majorHAnsi"/>
        </w:rPr>
        <w:t>P</w:t>
      </w:r>
      <w:r w:rsidR="008C0101">
        <w:rPr>
          <w:rFonts w:asciiTheme="majorHAnsi" w:hAnsiTheme="majorHAnsi" w:cstheme="majorHAnsi"/>
        </w:rPr>
        <w:t>rojeto de Lei Complementar nº 19</w:t>
      </w:r>
      <w:r>
        <w:rPr>
          <w:rFonts w:asciiTheme="majorHAnsi" w:hAnsiTheme="majorHAnsi" w:cstheme="majorHAnsi"/>
        </w:rPr>
        <w:t xml:space="preserve">/2025 – </w:t>
      </w:r>
      <w:r w:rsidR="00E91069">
        <w:rPr>
          <w:rFonts w:asciiTheme="majorHAnsi" w:hAnsiTheme="majorHAnsi" w:cstheme="majorHAnsi"/>
        </w:rPr>
        <w:t xml:space="preserve">que cria </w:t>
      </w:r>
      <w:r w:rsidRPr="00A55914" w:rsidR="00E91069">
        <w:rPr>
          <w:rFonts w:asciiTheme="majorHAnsi" w:hAnsiTheme="majorHAnsi" w:cstheme="majorHAnsi"/>
        </w:rPr>
        <w:t>4 (quatro) empregos públicos efetivos no quadro de servidores</w:t>
      </w:r>
      <w:r w:rsidR="00E91069">
        <w:rPr>
          <w:rFonts w:asciiTheme="majorHAnsi" w:hAnsiTheme="majorHAnsi" w:cstheme="majorHAnsi"/>
        </w:rPr>
        <w:t>.</w:t>
      </w:r>
    </w:p>
    <w:p w:rsidR="00766595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0A715C" w:rsidP="000A715C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Desta forma, a manifestação do setor responsável foi elaborada de maneira integrada, abarcando os impactos para todas alterações propostas. O documento (anexo)</w:t>
      </w:r>
      <w:r w:rsidRPr="00766595">
        <w:rPr>
          <w:rFonts w:asciiTheme="majorHAnsi" w:hAnsiTheme="majorHAnsi" w:cstheme="majorHAnsi"/>
        </w:rPr>
        <w:t>, apresenta a estimativa de impacto orçamentário e financeiro para a criação dos novos empregos, considerando 12 meses de salário, 13º salário e férias, encargos sociais, vales alimentação e refeição</w:t>
      </w:r>
      <w:r>
        <w:rPr>
          <w:rFonts w:asciiTheme="majorHAnsi" w:hAnsiTheme="majorHAnsi" w:cstheme="majorHAnsi"/>
        </w:rPr>
        <w:t>. I</w:t>
      </w:r>
      <w:r w:rsidRPr="00766595">
        <w:rPr>
          <w:rFonts w:asciiTheme="majorHAnsi" w:hAnsiTheme="majorHAnsi" w:cstheme="majorHAnsi"/>
        </w:rPr>
        <w:t xml:space="preserve">nforma </w:t>
      </w:r>
      <w:r>
        <w:rPr>
          <w:rFonts w:asciiTheme="majorHAnsi" w:hAnsiTheme="majorHAnsi" w:cstheme="majorHAnsi"/>
        </w:rPr>
        <w:t xml:space="preserve">ainda </w:t>
      </w:r>
      <w:r w:rsidRPr="00766595">
        <w:rPr>
          <w:rFonts w:asciiTheme="majorHAnsi" w:hAnsiTheme="majorHAnsi" w:cstheme="majorHAnsi"/>
        </w:rPr>
        <w:t xml:space="preserve">que o valor previsto no orçamento para 2026 para os novos empregos públicos é de R$ 684.391,49. </w:t>
      </w:r>
    </w:p>
    <w:p w:rsidR="000A715C" w:rsidP="000A715C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0A715C" w:rsidP="000A715C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Na propositura em tela, o valor total de despesa estimada para criação e manutenção do cargo em comissão é do montante anual de </w:t>
      </w:r>
      <w:r w:rsidRPr="000A715C">
        <w:rPr>
          <w:rFonts w:asciiTheme="majorHAnsi" w:hAnsiTheme="majorHAnsi" w:cstheme="majorHAnsi"/>
          <w:b/>
        </w:rPr>
        <w:t>R$ 103.539,06.</w:t>
      </w:r>
    </w:p>
    <w:p w:rsidR="000A715C" w:rsidP="000A715C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0A715C" w:rsidP="000A715C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Por fim, o documento atesta que o </w:t>
      </w:r>
      <w:r w:rsidRPr="00977D0F">
        <w:rPr>
          <w:rFonts w:asciiTheme="majorHAnsi" w:hAnsiTheme="majorHAnsi" w:cstheme="majorHAnsi"/>
        </w:rPr>
        <w:t xml:space="preserve">valor previsto de R$ 684.391,49 para 2026 representa </w:t>
      </w:r>
      <w:r w:rsidRPr="00977D0F">
        <w:rPr>
          <w:rFonts w:asciiTheme="majorHAnsi" w:hAnsiTheme="majorHAnsi" w:cstheme="majorHAnsi"/>
          <w:b/>
        </w:rPr>
        <w:t xml:space="preserve">3,82% </w:t>
      </w:r>
      <w:r w:rsidRPr="00977D0F">
        <w:rPr>
          <w:rFonts w:asciiTheme="majorHAnsi" w:hAnsiTheme="majorHAnsi" w:cstheme="majorHAnsi"/>
        </w:rPr>
        <w:t>do total de R$ 17.939.000,00 do orçamento anual da Câmara para o mesmo ano. Conclui, ainda, que os projetos possuem adequação orçamentária e financeira e compatibilidade com o plano plurianual e a lei de diretrizes orçamentárias, em conformidade com os artigos 16 e 17 da LRF</w:t>
      </w:r>
      <w:r>
        <w:rPr>
          <w:rFonts w:asciiTheme="majorHAnsi" w:hAnsiTheme="majorHAnsi" w:cstheme="majorHAnsi"/>
        </w:rPr>
        <w:t>.</w:t>
      </w:r>
    </w:p>
    <w:p w:rsidR="000A715C" w:rsidP="000A715C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F4193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tocante</w:t>
      </w:r>
      <w:r>
        <w:rPr>
          <w:rFonts w:asciiTheme="majorHAnsi" w:hAnsiTheme="majorHAnsi" w:cstheme="majorHAnsi"/>
        </w:rPr>
        <w:t xml:space="preserve"> </w:t>
      </w:r>
      <w:r w:rsidR="00C0742F">
        <w:rPr>
          <w:rFonts w:asciiTheme="majorHAnsi" w:hAnsiTheme="majorHAnsi" w:cstheme="majorHAnsi"/>
        </w:rPr>
        <w:t xml:space="preserve">as </w:t>
      </w:r>
      <w:r>
        <w:rPr>
          <w:rFonts w:asciiTheme="majorHAnsi" w:hAnsiTheme="majorHAnsi" w:cstheme="majorHAnsi"/>
        </w:rPr>
        <w:t>disposições da LRF</w:t>
      </w:r>
      <w:r w:rsidR="00C0742F">
        <w:rPr>
          <w:rFonts w:asciiTheme="majorHAnsi" w:hAnsiTheme="majorHAnsi" w:cstheme="majorHAnsi"/>
        </w:rPr>
        <w:t xml:space="preserve"> e Constituição Federal</w:t>
      </w:r>
      <w:r>
        <w:rPr>
          <w:rFonts w:asciiTheme="majorHAnsi" w:hAnsiTheme="majorHAnsi" w:cstheme="majorHAnsi"/>
        </w:rPr>
        <w:t xml:space="preserve">, esta comissão se preocupou em levantar, de maneira complementar, </w:t>
      </w:r>
      <w:r w:rsidR="00C0742F">
        <w:rPr>
          <w:rFonts w:asciiTheme="majorHAnsi" w:hAnsiTheme="majorHAnsi" w:cstheme="majorHAnsi"/>
        </w:rPr>
        <w:t xml:space="preserve">informações sobre o cumprimento dos limites com despesas da folha de pagamento. Vale lembrar que o Poder Legislativo possui como teto o percentual de 70% do orçamento que pode ser gasto anualmente com pagamento de servidores. Segundo previsão para o orçamento de 2026 (anexo a este parecer), </w:t>
      </w:r>
      <w:r>
        <w:rPr>
          <w:rFonts w:asciiTheme="majorHAnsi" w:hAnsiTheme="majorHAnsi" w:cstheme="majorHAnsi"/>
        </w:rPr>
        <w:t xml:space="preserve">o </w:t>
      </w:r>
      <w:r w:rsidR="00C0742F">
        <w:rPr>
          <w:rFonts w:asciiTheme="majorHAnsi" w:hAnsiTheme="majorHAnsi" w:cstheme="majorHAnsi"/>
        </w:rPr>
        <w:t>percentual</w:t>
      </w:r>
      <w:r>
        <w:rPr>
          <w:rFonts w:asciiTheme="majorHAnsi" w:hAnsiTheme="majorHAnsi" w:cstheme="majorHAnsi"/>
        </w:rPr>
        <w:t xml:space="preserve"> de todas alterações propostas</w:t>
      </w:r>
      <w:r w:rsidR="00C0742F">
        <w:rPr>
          <w:rFonts w:asciiTheme="majorHAnsi" w:hAnsiTheme="majorHAnsi" w:cstheme="majorHAnsi"/>
        </w:rPr>
        <w:t xml:space="preserve"> alcançará o valor de </w:t>
      </w:r>
      <w:r w:rsidRPr="00C0742F" w:rsidR="00C0742F">
        <w:rPr>
          <w:rFonts w:asciiTheme="majorHAnsi" w:hAnsiTheme="majorHAnsi" w:cstheme="majorHAnsi"/>
          <w:b/>
        </w:rPr>
        <w:t>44,95%,</w:t>
      </w:r>
      <w:r w:rsidR="00C0742F">
        <w:rPr>
          <w:rFonts w:asciiTheme="majorHAnsi" w:hAnsiTheme="majorHAnsi" w:cstheme="majorHAnsi"/>
        </w:rPr>
        <w:t xml:space="preserve"> portanto, dentro dos limites legais estabelecido.</w:t>
      </w:r>
    </w:p>
    <w:p w:rsidR="00AF4193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9D4F58" w:rsidP="0097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C0742F" w:rsidRPr="00C0742F" w:rsidP="00971849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C0742F">
        <w:rPr>
          <w:rFonts w:asciiTheme="majorHAnsi" w:hAnsiTheme="majorHAnsi" w:cstheme="majorHAnsi"/>
        </w:rPr>
        <w:t>Após análise detalhada do pr</w:t>
      </w:r>
      <w:r>
        <w:rPr>
          <w:rFonts w:asciiTheme="majorHAnsi" w:hAnsiTheme="majorHAnsi" w:cstheme="majorHAnsi"/>
        </w:rPr>
        <w:t xml:space="preserve">ojeto </w:t>
      </w:r>
      <w:r w:rsidR="00971849">
        <w:rPr>
          <w:rFonts w:asciiTheme="majorHAnsi" w:hAnsiTheme="majorHAnsi" w:cstheme="majorHAnsi"/>
        </w:rPr>
        <w:t>não temos emendas a propor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Sala das Comissões, em </w:t>
      </w:r>
      <w:r w:rsidR="00654E6F">
        <w:rPr>
          <w:rFonts w:asciiTheme="majorHAnsi" w:hAnsiTheme="majorHAnsi" w:cstheme="majorHAnsi"/>
        </w:rPr>
        <w:t>2</w:t>
      </w:r>
      <w:r w:rsidR="000A715C">
        <w:rPr>
          <w:rFonts w:asciiTheme="majorHAnsi" w:hAnsiTheme="majorHAnsi" w:cstheme="majorHAnsi"/>
        </w:rPr>
        <w:t>6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0D376F">
        <w:rPr>
          <w:rFonts w:asciiTheme="majorHAnsi" w:hAnsiTheme="majorHAnsi" w:cstheme="majorHAnsi"/>
        </w:rPr>
        <w:t>novem</w:t>
      </w:r>
      <w:r w:rsidR="004427D7">
        <w:rPr>
          <w:rFonts w:asciiTheme="majorHAnsi" w:hAnsiTheme="majorHAnsi" w:cstheme="majorHAnsi"/>
        </w:rPr>
        <w:t>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03626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0A715C">
        <w:rPr>
          <w:rFonts w:asciiTheme="majorHAnsi" w:hAnsiTheme="majorHAnsi" w:cstheme="majorHAnsi"/>
        </w:rPr>
        <w:t>26</w:t>
      </w:r>
      <w:r w:rsidR="00637C5F">
        <w:rPr>
          <w:rFonts w:asciiTheme="majorHAnsi" w:hAnsiTheme="majorHAnsi" w:cstheme="majorHAnsi"/>
        </w:rPr>
        <w:t xml:space="preserve"> de </w:t>
      </w:r>
      <w:r w:rsidR="000D376F">
        <w:rPr>
          <w:rFonts w:asciiTheme="majorHAnsi" w:hAnsiTheme="majorHAnsi" w:cstheme="majorHAnsi"/>
        </w:rPr>
        <w:t>novemb</w:t>
      </w:r>
      <w:r w:rsidR="004427D7">
        <w:rPr>
          <w:rFonts w:asciiTheme="majorHAnsi" w:hAnsiTheme="majorHAnsi" w:cstheme="majorHAnsi"/>
        </w:rPr>
        <w:t>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0"/>
  </w:num>
  <w:num w:numId="5">
    <w:abstractNumId w:val="20"/>
  </w:num>
  <w:num w:numId="6">
    <w:abstractNumId w:val="22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19"/>
  </w:num>
  <w:num w:numId="16">
    <w:abstractNumId w:val="13"/>
  </w:num>
  <w:num w:numId="17">
    <w:abstractNumId w:val="18"/>
  </w:num>
  <w:num w:numId="18">
    <w:abstractNumId w:val="5"/>
  </w:num>
  <w:num w:numId="19">
    <w:abstractNumId w:val="2"/>
  </w:num>
  <w:num w:numId="20">
    <w:abstractNumId w:val="17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15C"/>
    <w:rsid w:val="000A732D"/>
    <w:rsid w:val="000B1C6D"/>
    <w:rsid w:val="000C4A24"/>
    <w:rsid w:val="000D376F"/>
    <w:rsid w:val="000D498E"/>
    <w:rsid w:val="000E58E9"/>
    <w:rsid w:val="000F4933"/>
    <w:rsid w:val="00126AE5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3F711A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80392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54E6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870B8"/>
    <w:rsid w:val="007911EF"/>
    <w:rsid w:val="007A08D1"/>
    <w:rsid w:val="007B6058"/>
    <w:rsid w:val="007C6029"/>
    <w:rsid w:val="007C7AD8"/>
    <w:rsid w:val="00804434"/>
    <w:rsid w:val="0081335D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956B8"/>
    <w:rsid w:val="008A537A"/>
    <w:rsid w:val="008C0101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71849"/>
    <w:rsid w:val="00977D0F"/>
    <w:rsid w:val="0098102A"/>
    <w:rsid w:val="00983B49"/>
    <w:rsid w:val="009D4F58"/>
    <w:rsid w:val="009D56B8"/>
    <w:rsid w:val="009D6B7C"/>
    <w:rsid w:val="00A00E3E"/>
    <w:rsid w:val="00A12DD9"/>
    <w:rsid w:val="00A14E63"/>
    <w:rsid w:val="00A164DC"/>
    <w:rsid w:val="00A17FE4"/>
    <w:rsid w:val="00A23604"/>
    <w:rsid w:val="00A2712E"/>
    <w:rsid w:val="00A27446"/>
    <w:rsid w:val="00A375DD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30708"/>
    <w:rsid w:val="00B33FF5"/>
    <w:rsid w:val="00B45642"/>
    <w:rsid w:val="00B57090"/>
    <w:rsid w:val="00BA48C7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0879"/>
    <w:rsid w:val="00DD7EAE"/>
    <w:rsid w:val="00DE2A9A"/>
    <w:rsid w:val="00DF605F"/>
    <w:rsid w:val="00E11ECC"/>
    <w:rsid w:val="00E3543A"/>
    <w:rsid w:val="00E3658D"/>
    <w:rsid w:val="00E41ADD"/>
    <w:rsid w:val="00E471F3"/>
    <w:rsid w:val="00E57571"/>
    <w:rsid w:val="00E57668"/>
    <w:rsid w:val="00E7438B"/>
    <w:rsid w:val="00E86C91"/>
    <w:rsid w:val="00E91069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C17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0FD3-DD1E-42F8-A556-B087C657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2025-11-26T14:23:00Z</dcterms:created>
  <dcterms:modified xsi:type="dcterms:W3CDTF">2025-11-26T14:23:00Z</dcterms:modified>
</cp:coreProperties>
</file>