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Parecer 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º </w:t>
      </w:r>
      <w:r w:rsidR="00B550DC">
        <w:rPr>
          <w:rFonts w:asciiTheme="majorHAnsi" w:hAnsiTheme="majorHAnsi" w:cstheme="majorHAnsi"/>
          <w:b/>
          <w:sz w:val="24"/>
          <w:szCs w:val="24"/>
        </w:rPr>
        <w:t>2</w:t>
      </w:r>
      <w:r w:rsidR="00B550DC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d</w:t>
      </w:r>
      <w:r w:rsidR="0069403A">
        <w:rPr>
          <w:rFonts w:asciiTheme="majorHAnsi" w:hAnsiTheme="majorHAnsi" w:cstheme="majorHAnsi"/>
          <w:b/>
          <w:color w:val="000000"/>
          <w:sz w:val="24"/>
          <w:szCs w:val="24"/>
        </w:rPr>
        <w:t>o Projeto de Lei</w:t>
      </w:r>
      <w:r w:rsidR="007C6187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Complementar Nº 25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>/2025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Processo </w:t>
      </w:r>
      <w:r w:rsidR="00D677F3"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="00A8112A">
        <w:rPr>
          <w:rFonts w:asciiTheme="majorHAnsi" w:hAnsiTheme="majorHAnsi" w:cstheme="majorHAnsi"/>
          <w:b/>
          <w:color w:val="000000"/>
          <w:sz w:val="24"/>
          <w:szCs w:val="24"/>
        </w:rPr>
        <w:t>º 223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>/2025</w:t>
      </w:r>
    </w:p>
    <w:p w:rsidR="0020584A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6231BE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D677F3">
        <w:rPr>
          <w:rFonts w:asciiTheme="majorHAnsi" w:hAnsiTheme="majorHAnsi" w:cstheme="majorHAnsi"/>
          <w:sz w:val="24"/>
          <w:szCs w:val="24"/>
        </w:rPr>
        <w:t xml:space="preserve">            Conforme determina o artigo 37 da Resolução 276 de 09 de novembro de 2010 – Regimento Interno da Câmara Municipal, a Comissão de Finanças e Orçamento, emite o presente Relatório </w:t>
      </w:r>
      <w:r w:rsidR="00BE68FF">
        <w:rPr>
          <w:rFonts w:asciiTheme="majorHAnsi" w:hAnsiTheme="majorHAnsi" w:cstheme="majorHAnsi"/>
          <w:sz w:val="24"/>
          <w:szCs w:val="24"/>
        </w:rPr>
        <w:t xml:space="preserve">acerca do Projeto </w:t>
      </w:r>
      <w:r w:rsidR="0069403A">
        <w:rPr>
          <w:rFonts w:asciiTheme="majorHAnsi" w:hAnsiTheme="majorHAnsi" w:cstheme="majorHAnsi"/>
          <w:sz w:val="24"/>
          <w:szCs w:val="24"/>
        </w:rPr>
        <w:t>de Lei</w:t>
      </w:r>
      <w:r w:rsidR="00A8112A">
        <w:rPr>
          <w:rFonts w:asciiTheme="majorHAnsi" w:hAnsiTheme="majorHAnsi" w:cstheme="majorHAnsi"/>
          <w:sz w:val="24"/>
          <w:szCs w:val="24"/>
        </w:rPr>
        <w:t xml:space="preserve"> Complementar nº 25</w:t>
      </w:r>
      <w:r w:rsidR="0069403A">
        <w:rPr>
          <w:rFonts w:asciiTheme="majorHAnsi" w:hAnsiTheme="majorHAnsi" w:cstheme="majorHAnsi"/>
          <w:sz w:val="24"/>
          <w:szCs w:val="24"/>
        </w:rPr>
        <w:t>/2025, de autoria do</w:t>
      </w:r>
      <w:r w:rsidR="004427D7">
        <w:rPr>
          <w:rFonts w:asciiTheme="majorHAnsi" w:hAnsiTheme="majorHAnsi" w:cstheme="majorHAnsi"/>
          <w:sz w:val="24"/>
          <w:szCs w:val="24"/>
        </w:rPr>
        <w:t xml:space="preserve"> </w:t>
      </w:r>
      <w:r w:rsidR="002B5A45">
        <w:rPr>
          <w:rFonts w:asciiTheme="majorHAnsi" w:hAnsiTheme="majorHAnsi" w:cstheme="majorHAnsi"/>
          <w:sz w:val="24"/>
          <w:szCs w:val="24"/>
        </w:rPr>
        <w:t>Exmo</w:t>
      </w:r>
      <w:r w:rsidRPr="00D677F3">
        <w:rPr>
          <w:rFonts w:asciiTheme="majorHAnsi" w:hAnsiTheme="majorHAnsi" w:cstheme="majorHAnsi"/>
          <w:sz w:val="24"/>
          <w:szCs w:val="24"/>
        </w:rPr>
        <w:t xml:space="preserve">. </w:t>
      </w:r>
      <w:r w:rsidR="00A8112A">
        <w:rPr>
          <w:rFonts w:asciiTheme="majorHAnsi" w:hAnsiTheme="majorHAnsi" w:cstheme="majorHAnsi"/>
          <w:sz w:val="24"/>
          <w:szCs w:val="24"/>
        </w:rPr>
        <w:t>Dr. Paulo de Oliveira e Silva</w:t>
      </w:r>
      <w:r w:rsidRPr="00D677F3">
        <w:rPr>
          <w:rFonts w:asciiTheme="majorHAnsi" w:hAnsiTheme="majorHAnsi" w:cstheme="majorHAnsi"/>
          <w:sz w:val="24"/>
          <w:szCs w:val="24"/>
        </w:rPr>
        <w:t>, sob relatoria da Vereadora Mara Cristina Choquetta.</w:t>
      </w:r>
    </w:p>
    <w:p w:rsidR="00D677F3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C31C89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I. Exposição da Matéria</w:t>
      </w:r>
    </w:p>
    <w:p w:rsidR="006231BE" w:rsidRPr="00D677F3" w:rsidP="00D677F3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D677F3" w:rsidRPr="0069403A" w:rsidP="000D498E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</w:t>
      </w:r>
      <w:r w:rsidR="00A52713">
        <w:rPr>
          <w:rFonts w:asciiTheme="majorHAnsi" w:hAnsiTheme="majorHAnsi" w:cstheme="majorHAnsi"/>
          <w:sz w:val="24"/>
          <w:szCs w:val="24"/>
        </w:rPr>
        <w:t xml:space="preserve"> </w:t>
      </w:r>
      <w:r w:rsidR="0069403A">
        <w:rPr>
          <w:rFonts w:asciiTheme="majorHAnsi" w:hAnsiTheme="majorHAnsi" w:cstheme="majorHAnsi"/>
          <w:sz w:val="24"/>
          <w:szCs w:val="24"/>
        </w:rPr>
        <w:t>O Exmo</w:t>
      </w:r>
      <w:r w:rsidRPr="00D677F3" w:rsidR="004427D7">
        <w:rPr>
          <w:rFonts w:asciiTheme="majorHAnsi" w:hAnsiTheme="majorHAnsi" w:cstheme="majorHAnsi"/>
          <w:sz w:val="24"/>
          <w:szCs w:val="24"/>
        </w:rPr>
        <w:t xml:space="preserve">. </w:t>
      </w:r>
      <w:r w:rsidR="00A8112A">
        <w:rPr>
          <w:rFonts w:asciiTheme="majorHAnsi" w:hAnsiTheme="majorHAnsi" w:cstheme="majorHAnsi"/>
          <w:sz w:val="24"/>
          <w:szCs w:val="24"/>
        </w:rPr>
        <w:t>Dr. Paulo de Oliveira e Silva</w:t>
      </w:r>
      <w:r w:rsidR="0069403A">
        <w:rPr>
          <w:rFonts w:asciiTheme="majorHAnsi" w:hAnsiTheme="majorHAnsi" w:cstheme="majorHAnsi"/>
          <w:sz w:val="24"/>
          <w:szCs w:val="24"/>
        </w:rPr>
        <w:t xml:space="preserve"> protocolou</w:t>
      </w:r>
      <w:r w:rsidRPr="00D677F3" w:rsidR="00472595">
        <w:rPr>
          <w:rFonts w:asciiTheme="majorHAnsi" w:hAnsiTheme="majorHAnsi" w:cstheme="majorHAnsi"/>
          <w:sz w:val="24"/>
          <w:szCs w:val="24"/>
        </w:rPr>
        <w:t xml:space="preserve"> nesta Cas</w:t>
      </w:r>
      <w:r w:rsidR="00A52713">
        <w:rPr>
          <w:rFonts w:asciiTheme="majorHAnsi" w:hAnsiTheme="majorHAnsi" w:cstheme="majorHAnsi"/>
          <w:sz w:val="24"/>
          <w:szCs w:val="24"/>
        </w:rPr>
        <w:t xml:space="preserve">a de Leis o </w:t>
      </w:r>
      <w:r w:rsidR="0069403A">
        <w:rPr>
          <w:rFonts w:asciiTheme="majorHAnsi" w:hAnsiTheme="majorHAnsi" w:cstheme="majorHAnsi"/>
          <w:sz w:val="24"/>
          <w:szCs w:val="24"/>
        </w:rPr>
        <w:t xml:space="preserve">Projeto de Lei </w:t>
      </w:r>
      <w:r w:rsidR="00A8112A">
        <w:rPr>
          <w:rFonts w:asciiTheme="majorHAnsi" w:hAnsiTheme="majorHAnsi" w:cstheme="majorHAnsi"/>
          <w:sz w:val="24"/>
          <w:szCs w:val="24"/>
        </w:rPr>
        <w:t>Complementar nº 25</w:t>
      </w:r>
      <w:r w:rsidR="00A52713">
        <w:rPr>
          <w:rFonts w:asciiTheme="majorHAnsi" w:hAnsiTheme="majorHAnsi" w:cstheme="majorHAnsi"/>
          <w:sz w:val="24"/>
          <w:szCs w:val="24"/>
        </w:rPr>
        <w:t>/2025, que</w:t>
      </w:r>
      <w:r w:rsidRPr="00A52713" w:rsidR="00A52713">
        <w:t xml:space="preserve"> </w:t>
      </w:r>
      <w:r w:rsidRPr="00A52713" w:rsidR="00A52713">
        <w:rPr>
          <w:rFonts w:asciiTheme="majorHAnsi" w:hAnsiTheme="majorHAnsi" w:cstheme="majorHAnsi"/>
          <w:b/>
          <w:i/>
          <w:sz w:val="24"/>
          <w:szCs w:val="24"/>
        </w:rPr>
        <w:t>“</w:t>
      </w:r>
      <w:r w:rsidRPr="00A8112A" w:rsidR="00A8112A">
        <w:rPr>
          <w:rFonts w:asciiTheme="majorHAnsi" w:hAnsiTheme="majorHAnsi" w:cstheme="majorHAnsi"/>
          <w:b/>
          <w:i/>
          <w:sz w:val="24"/>
          <w:szCs w:val="24"/>
        </w:rPr>
        <w:t>ALTERA DISPOSITIVO DA LEI COMPLEMENTAR Nº 206, DE 27 DE DEZEMBRO DE 2006, QUE TRATA DO QUADRO DE PESSOAL, PLANO DE EMPREGOS, SALÁRIOS, CARREIRA DOS FUNCIONÁRIOS</w:t>
      </w:r>
      <w:r w:rsidR="000E1702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Pr="00A8112A" w:rsidR="00A8112A">
        <w:rPr>
          <w:rFonts w:asciiTheme="majorHAnsi" w:hAnsiTheme="majorHAnsi" w:cstheme="majorHAnsi"/>
          <w:b/>
          <w:i/>
          <w:sz w:val="24"/>
          <w:szCs w:val="24"/>
        </w:rPr>
        <w:t>DO SERVIÇO</w:t>
      </w:r>
      <w:r w:rsidR="000E1702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Pr="00A8112A" w:rsidR="00A8112A">
        <w:rPr>
          <w:rFonts w:asciiTheme="majorHAnsi" w:hAnsiTheme="majorHAnsi" w:cstheme="majorHAnsi"/>
          <w:b/>
          <w:i/>
          <w:sz w:val="24"/>
          <w:szCs w:val="24"/>
        </w:rPr>
        <w:t>AUTÔNOMO DE ÁGUA E ESGOTOS DE MOGI MIRIM</w:t>
      </w:r>
      <w:r w:rsidR="00F660F1">
        <w:rPr>
          <w:rFonts w:asciiTheme="majorHAnsi" w:hAnsiTheme="majorHAnsi" w:cstheme="majorHAnsi"/>
          <w:b/>
          <w:i/>
          <w:sz w:val="24"/>
          <w:szCs w:val="24"/>
        </w:rPr>
        <w:t>”.</w:t>
      </w:r>
    </w:p>
    <w:p w:rsidR="00A303E0" w:rsidRPr="00A303E0" w:rsidP="00A303E0">
      <w:pPr>
        <w:pStyle w:val="NormalWeb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</w:t>
      </w:r>
      <w:r w:rsidRPr="00A303E0">
        <w:rPr>
          <w:rFonts w:asciiTheme="majorHAnsi" w:hAnsiTheme="majorHAnsi" w:cstheme="majorHAnsi"/>
        </w:rPr>
        <w:t>A propositura, encaminhada por meio da Mensagem nº 066/25, visa regulamentar no âmbito da Câmara Municipal de Mogi Mirim a alteração do inciso IV do art. 74 da Lei Complementar nº 206/2006, ampliando a licença-paternidade dos servidores do Serviço Autônomo de Água e Esgotos de Mogi Mirim (SAAE) de 5 (cinco) para 30 (trinta) dias consecutivos. A medida tem por finalidade fortalecer os vínculos familiares no período pós-natal, garantir melhores condições de apoio à família, promover a corresponsabilidade parental e valorizar o servidor público.</w:t>
      </w:r>
    </w:p>
    <w:p w:rsidR="00A303E0" w:rsidP="00A303E0">
      <w:pPr>
        <w:pStyle w:val="NormalWeb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</w:t>
      </w:r>
      <w:r w:rsidRPr="00A303E0">
        <w:rPr>
          <w:rFonts w:asciiTheme="majorHAnsi" w:hAnsiTheme="majorHAnsi" w:cstheme="majorHAnsi"/>
        </w:rPr>
        <w:t>A ampliação do período de licença contribui para o apoio materno no pós-parto, para o fortalecimento do vínculo entre pai e filho e para um maior equilíbrio na divisão das responsabilidades parentais. A proposta insere-se em um conjunto mais amplo de ações voltadas à valorização do servidor público, à promoção da dignidade da pessoa humana e à proteção integral da infância. Destaca-se, ainda, que a presença paterna nos primeiros dias de vida da criança favorece o desenvolvimento infantil, o bem-estar materno e a consolidação de uma cultura de corresponsabilidade familiar.</w:t>
      </w:r>
    </w:p>
    <w:p w:rsidR="00B97734" w:rsidRPr="00B97734" w:rsidP="00A303E0">
      <w:pPr>
        <w:pStyle w:val="NormalWeb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</w:t>
      </w:r>
      <w:r w:rsidRPr="00B97734">
        <w:rPr>
          <w:rFonts w:asciiTheme="majorHAnsi" w:hAnsiTheme="majorHAnsi" w:cstheme="majorHAnsi"/>
        </w:rPr>
        <w:t>A justificativa apresentada pelo autor do projeto, destaca que a presença paterna nos primeiros dias de vida da criança fortalece os vínculos entre pai e filho, contribui para o desenvolvimento infantil e auxilia no bem-estar materno. A medida também visa promover maior equilíbrio na divisão das responsabilidades parentais, incentivando a corresponsabilidade familiar. Além disso, a proposta integra um conjunto mais amplo de ações de valorização do servidor público, de promoção da dignidade da pessoa humana e de fortalecimento das políticas de proteção integral à infância. Ressalta-se, ainda, que a legislação federal fixa o mínimo de cinco dias, mas permite que os entes federativos ampliem o período por legislação própria, o que legitima a iniciativa no âmbito municipal. Assim, o autor considera a proposta moderna, socialmente relevante e alinhada ao compromisso do Município com políticas públicas inclusivas e voltadas ao fortalecimento da família.</w:t>
      </w:r>
    </w:p>
    <w:p w:rsidR="000E1702" w:rsidRPr="000D498E" w:rsidP="000D498E">
      <w:pP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0E1702" w:rsidP="00D677F3">
      <w:pPr>
        <w:spacing w:before="100" w:beforeAutospacing="1"/>
        <w:contextualSpacing/>
        <w:jc w:val="both"/>
        <w:rPr>
          <w:rFonts w:asciiTheme="majorHAnsi" w:hAnsiTheme="majorHAnsi" w:cstheme="majorHAnsi"/>
          <w:i/>
          <w:sz w:val="24"/>
          <w:szCs w:val="24"/>
          <w:shd w:val="clear" w:color="auto" w:fill="FFFFFF"/>
        </w:rPr>
      </w:pPr>
    </w:p>
    <w:p w:rsidR="00A2712E" w:rsidRPr="00D677F3" w:rsidP="00D677F3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II. Do mérito e conclusões da relatora</w:t>
      </w:r>
    </w:p>
    <w:p w:rsidR="00A2712E" w:rsidRPr="00494DA8" w:rsidP="003A325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  <w:color w:val="FF0000"/>
        </w:rPr>
      </w:pPr>
      <w:r w:rsidRPr="00D677F3">
        <w:rPr>
          <w:rFonts w:asciiTheme="majorHAnsi" w:hAnsiTheme="majorHAnsi" w:cstheme="majorHAnsi"/>
          <w:color w:val="FF0000"/>
        </w:rPr>
        <w:tab/>
      </w:r>
      <w:r w:rsidRPr="00BF47AD">
        <w:rPr>
          <w:rFonts w:asciiTheme="majorHAnsi" w:hAnsiTheme="majorHAnsi" w:cstheme="majorHAnsi"/>
        </w:rPr>
        <w:t xml:space="preserve">Inicialmente, </w:t>
      </w:r>
      <w:r w:rsidR="00D47DCE">
        <w:rPr>
          <w:rFonts w:asciiTheme="majorHAnsi" w:hAnsiTheme="majorHAnsi" w:cstheme="majorHAnsi"/>
        </w:rPr>
        <w:t>destacamos que a pre</w:t>
      </w:r>
      <w:r w:rsidRPr="00BF47AD" w:rsidR="00BF47AD">
        <w:rPr>
          <w:rFonts w:asciiTheme="majorHAnsi" w:hAnsiTheme="majorHAnsi" w:cstheme="majorHAnsi"/>
        </w:rPr>
        <w:t>sente propositura já tra</w:t>
      </w:r>
      <w:r w:rsidR="00637C5F">
        <w:rPr>
          <w:rFonts w:asciiTheme="majorHAnsi" w:hAnsiTheme="majorHAnsi" w:cstheme="majorHAnsi"/>
        </w:rPr>
        <w:t>mitou pel</w:t>
      </w:r>
      <w:r w:rsidR="00C56DF7">
        <w:rPr>
          <w:rFonts w:asciiTheme="majorHAnsi" w:hAnsiTheme="majorHAnsi" w:cstheme="majorHAnsi"/>
        </w:rPr>
        <w:t xml:space="preserve">a comissão de Justiça e Redação </w:t>
      </w:r>
      <w:r w:rsidRPr="00BF47AD" w:rsidR="00BF47AD">
        <w:rPr>
          <w:rFonts w:asciiTheme="majorHAnsi" w:hAnsiTheme="majorHAnsi" w:cstheme="majorHAnsi"/>
        </w:rPr>
        <w:t xml:space="preserve">recebendo </w:t>
      </w:r>
      <w:r w:rsidR="00A8112A">
        <w:rPr>
          <w:rFonts w:asciiTheme="majorHAnsi" w:hAnsiTheme="majorHAnsi" w:cstheme="majorHAnsi"/>
        </w:rPr>
        <w:t>Parecer</w:t>
      </w:r>
      <w:r w:rsidR="00983B49">
        <w:rPr>
          <w:rFonts w:asciiTheme="majorHAnsi" w:hAnsiTheme="majorHAnsi" w:cstheme="majorHAnsi"/>
        </w:rPr>
        <w:t xml:space="preserve"> F</w:t>
      </w:r>
      <w:r w:rsidR="00A8112A">
        <w:rPr>
          <w:rFonts w:asciiTheme="majorHAnsi" w:hAnsiTheme="majorHAnsi" w:cstheme="majorHAnsi"/>
        </w:rPr>
        <w:t>avorável</w:t>
      </w:r>
      <w:r w:rsidR="004B3932">
        <w:rPr>
          <w:rFonts w:asciiTheme="majorHAnsi" w:hAnsiTheme="majorHAnsi" w:cstheme="majorHAnsi"/>
        </w:rPr>
        <w:t xml:space="preserve"> </w:t>
      </w:r>
      <w:r w:rsidRPr="00494DA8" w:rsidR="004B3932">
        <w:rPr>
          <w:rFonts w:asciiTheme="majorHAnsi" w:hAnsiTheme="majorHAnsi" w:cstheme="majorHAnsi"/>
        </w:rPr>
        <w:t>do ponto de vista legal/constitucional.</w:t>
      </w:r>
    </w:p>
    <w:p w:rsidR="00D677F3" w:rsidRPr="00494DA8" w:rsidP="003A325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  <w:color w:val="FF0000"/>
        </w:rPr>
      </w:pPr>
    </w:p>
    <w:p w:rsidR="00B97734" w:rsidRPr="00494DA8" w:rsidP="003A3253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</w:rPr>
      </w:pPr>
      <w:r w:rsidRPr="00B97734">
        <w:rPr>
          <w:rFonts w:asciiTheme="majorHAnsi" w:hAnsiTheme="majorHAnsi" w:cstheme="majorHAnsi"/>
        </w:rPr>
        <w:t>O projeto tem como objetivo ampliar a licença-paternidade dos servidores do SAAE de 5</w:t>
      </w:r>
      <w:r>
        <w:rPr>
          <w:rFonts w:asciiTheme="majorHAnsi" w:hAnsiTheme="majorHAnsi" w:cstheme="majorHAnsi"/>
        </w:rPr>
        <w:t xml:space="preserve"> (cinco)</w:t>
      </w:r>
      <w:r w:rsidRPr="00B97734">
        <w:rPr>
          <w:rFonts w:asciiTheme="majorHAnsi" w:hAnsiTheme="majorHAnsi" w:cstheme="majorHAnsi"/>
        </w:rPr>
        <w:t xml:space="preserve"> para 30</w:t>
      </w:r>
      <w:r>
        <w:rPr>
          <w:rFonts w:asciiTheme="majorHAnsi" w:hAnsiTheme="majorHAnsi" w:cstheme="majorHAnsi"/>
        </w:rPr>
        <w:t xml:space="preserve"> (trinta)</w:t>
      </w:r>
      <w:r w:rsidRPr="00B97734">
        <w:rPr>
          <w:rFonts w:asciiTheme="majorHAnsi" w:hAnsiTheme="majorHAnsi" w:cstheme="majorHAnsi"/>
        </w:rPr>
        <w:t xml:space="preserve"> dias, fortalecendo o apoio às famílias no período pós-natal, promovendo a corresponsabilidade parental e contribuindo para o desenvolvimento saudável da criança.</w:t>
      </w:r>
    </w:p>
    <w:p w:rsidR="00494DA8" w:rsidRPr="00494DA8" w:rsidP="003A3253">
      <w:pPr>
        <w:pStyle w:val="NormalWeb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</w:t>
      </w:r>
      <w:r w:rsidRPr="00494DA8">
        <w:rPr>
          <w:rFonts w:asciiTheme="majorHAnsi" w:hAnsiTheme="majorHAnsi" w:cstheme="majorHAnsi"/>
        </w:rPr>
        <w:t>De acordo com o Memorando nº 8 – 450/2025, nos últimos três exercícios apenas dois servidores do SAAE usufruíram da licença-paternidade, indicando que a utilização do benefício tem sido muito limitada até o momento. Com base nesse histórico, foi anexada ao Projeto de Lei</w:t>
      </w:r>
      <w:r w:rsidR="00EB6E4A">
        <w:rPr>
          <w:rFonts w:asciiTheme="majorHAnsi" w:hAnsiTheme="majorHAnsi" w:cstheme="majorHAnsi"/>
        </w:rPr>
        <w:t xml:space="preserve"> Complementar</w:t>
      </w:r>
      <w:r w:rsidRPr="00494DA8">
        <w:rPr>
          <w:rFonts w:asciiTheme="majorHAnsi" w:hAnsiTheme="majorHAnsi" w:cstheme="majorHAnsi"/>
        </w:rPr>
        <w:t xml:space="preserve"> a </w:t>
      </w:r>
      <w:r w:rsidRPr="00494DA8">
        <w:rPr>
          <w:rStyle w:val="Strong"/>
          <w:rFonts w:asciiTheme="majorHAnsi" w:hAnsiTheme="majorHAnsi" w:cstheme="majorHAnsi"/>
          <w:b w:val="0"/>
        </w:rPr>
        <w:t>Estimativa de Impacto Financeiro</w:t>
      </w:r>
      <w:r w:rsidRPr="00494DA8">
        <w:rPr>
          <w:rFonts w:asciiTheme="majorHAnsi" w:hAnsiTheme="majorHAnsi" w:cstheme="majorHAnsi"/>
        </w:rPr>
        <w:t xml:space="preserve">, que projeta um valor anual de </w:t>
      </w:r>
      <w:r w:rsidRPr="00494DA8">
        <w:rPr>
          <w:rStyle w:val="Strong"/>
          <w:rFonts w:asciiTheme="majorHAnsi" w:hAnsiTheme="majorHAnsi" w:cstheme="majorHAnsi"/>
          <w:b w:val="0"/>
        </w:rPr>
        <w:t>R$ 6.173,49 (seis mil, cento e setenta e três reais e quarenta e nove centavos)</w:t>
      </w:r>
      <w:r w:rsidRPr="00494DA8">
        <w:rPr>
          <w:rFonts w:asciiTheme="majorHAnsi" w:hAnsiTheme="majorHAnsi" w:cstheme="majorHAnsi"/>
        </w:rPr>
        <w:t xml:space="preserve"> para a implementação da licença-paternidade ampliada. Considerando os três exercícios seguintes, o montante total estimado para este período é de </w:t>
      </w:r>
      <w:r w:rsidRPr="00494DA8">
        <w:rPr>
          <w:rStyle w:val="Strong"/>
          <w:rFonts w:asciiTheme="majorHAnsi" w:hAnsiTheme="majorHAnsi" w:cstheme="majorHAnsi"/>
          <w:b w:val="0"/>
        </w:rPr>
        <w:t>R$ 18.520,47 (dezoito mil, quinhentos e vinte reais e quarenta e sete centavos)</w:t>
      </w:r>
      <w:r w:rsidRPr="00494DA8">
        <w:rPr>
          <w:rFonts w:asciiTheme="majorHAnsi" w:hAnsiTheme="majorHAnsi" w:cstheme="majorHAnsi"/>
        </w:rPr>
        <w:t>.</w:t>
      </w:r>
    </w:p>
    <w:p w:rsidR="00BF47AD" w:rsidRPr="00D677F3" w:rsidP="003A3253">
      <w:pPr>
        <w:pStyle w:val="NormalWeb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</w:t>
      </w:r>
      <w:r w:rsidRPr="00494DA8">
        <w:rPr>
          <w:rFonts w:asciiTheme="majorHAnsi" w:hAnsiTheme="majorHAnsi" w:cstheme="majorHAnsi"/>
        </w:rPr>
        <w:t xml:space="preserve">Essa projeção demonstra que, apesar do aumento do período de afastamento de 5 para 30 dias, o impacto financeiro sobre o orçamento do SAAE é </w:t>
      </w:r>
      <w:r w:rsidRPr="00494DA8">
        <w:rPr>
          <w:rStyle w:val="Strong"/>
          <w:rFonts w:asciiTheme="majorHAnsi" w:hAnsiTheme="majorHAnsi" w:cstheme="majorHAnsi"/>
          <w:b w:val="0"/>
        </w:rPr>
        <w:t>relativamente baixo e compatíve</w:t>
      </w:r>
      <w:r>
        <w:rPr>
          <w:rStyle w:val="Strong"/>
          <w:rFonts w:asciiTheme="majorHAnsi" w:hAnsiTheme="majorHAnsi" w:cstheme="majorHAnsi"/>
          <w:b w:val="0"/>
        </w:rPr>
        <w:t>l</w:t>
      </w:r>
      <w:r w:rsidRPr="00494DA8">
        <w:rPr>
          <w:rFonts w:asciiTheme="majorHAnsi" w:hAnsiTheme="majorHAnsi" w:cstheme="majorHAnsi"/>
        </w:rPr>
        <w:t xml:space="preserve"> com a capacidade orçamentária do órgão, não comprometendo as demais despesas de pessoal e mantendo a sustentabilidade fiscal da instituição.</w:t>
      </w:r>
    </w:p>
    <w:p w:rsidR="009D4F5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</w:t>
      </w:r>
      <w:r w:rsidRPr="00D677F3" w:rsidR="00472595">
        <w:rPr>
          <w:rFonts w:asciiTheme="majorHAnsi" w:hAnsiTheme="majorHAnsi" w:cstheme="majorHAnsi"/>
        </w:rPr>
        <w:t xml:space="preserve"> Diante de todo exposto, não se identifica óbice para a sua regular tramitação e aprovação por esta Casa Legislativa.</w:t>
      </w:r>
    </w:p>
    <w:p w:rsidR="009D4F58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C31C89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9D4F5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 xml:space="preserve">III. Substitutivos, </w:t>
      </w:r>
      <w:r w:rsidR="00524D00">
        <w:rPr>
          <w:rFonts w:asciiTheme="majorHAnsi" w:hAnsiTheme="majorHAnsi" w:cstheme="majorHAnsi"/>
          <w:b/>
        </w:rPr>
        <w:t xml:space="preserve">Emendas </w:t>
      </w:r>
      <w:r w:rsidRPr="00D677F3">
        <w:rPr>
          <w:rFonts w:asciiTheme="majorHAnsi" w:hAnsiTheme="majorHAnsi" w:cstheme="majorHAnsi"/>
          <w:b/>
        </w:rPr>
        <w:t>ou subemendas ao Projeto</w:t>
      </w: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9D4F5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 xml:space="preserve">            Ressalta-se que esse parecer foi elaborado</w:t>
      </w:r>
      <w:r w:rsidR="00637C5F">
        <w:rPr>
          <w:rFonts w:asciiTheme="majorHAnsi" w:hAnsiTheme="majorHAnsi" w:cstheme="majorHAnsi"/>
        </w:rPr>
        <w:t xml:space="preserve"> em cima </w:t>
      </w:r>
      <w:r w:rsidR="000D376F">
        <w:rPr>
          <w:rFonts w:asciiTheme="majorHAnsi" w:hAnsiTheme="majorHAnsi" w:cstheme="majorHAnsi"/>
        </w:rPr>
        <w:t>do Projeto de Lei</w:t>
      </w:r>
      <w:r w:rsidR="00A8112A">
        <w:rPr>
          <w:rFonts w:asciiTheme="majorHAnsi" w:hAnsiTheme="majorHAnsi" w:cstheme="majorHAnsi"/>
        </w:rPr>
        <w:t xml:space="preserve"> Complementar Nº 25</w:t>
      </w:r>
      <w:r w:rsidRPr="00D677F3">
        <w:rPr>
          <w:rFonts w:asciiTheme="majorHAnsi" w:hAnsiTheme="majorHAnsi" w:cstheme="majorHAnsi"/>
        </w:rPr>
        <w:t>/2025</w:t>
      </w:r>
      <w:r w:rsidRPr="00D677F3" w:rsidR="006B31CF">
        <w:rPr>
          <w:rFonts w:asciiTheme="majorHAnsi" w:hAnsiTheme="majorHAnsi" w:cstheme="majorHAnsi"/>
        </w:rPr>
        <w:t xml:space="preserve">. Após análise detalhada do projeto a relatora </w:t>
      </w:r>
      <w:r w:rsidRPr="00D677F3" w:rsidR="006B31CF">
        <w:rPr>
          <w:rFonts w:asciiTheme="majorHAnsi" w:hAnsiTheme="majorHAnsi" w:cstheme="majorHAnsi"/>
          <w:b/>
        </w:rPr>
        <w:t>não propõe emenda ao projeto</w:t>
      </w:r>
      <w:r w:rsidRPr="00D677F3" w:rsidR="006B31CF">
        <w:rPr>
          <w:rFonts w:asciiTheme="majorHAnsi" w:hAnsiTheme="majorHAnsi" w:cstheme="majorHAnsi"/>
        </w:rPr>
        <w:t>.</w:t>
      </w:r>
    </w:p>
    <w:p w:rsid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IV. Decisão da Relatora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Style w:val="Strong"/>
          <w:rFonts w:asciiTheme="majorHAnsi" w:hAnsiTheme="majorHAnsi" w:cstheme="majorHAnsi"/>
          <w:b w:val="0"/>
        </w:rPr>
        <w:t xml:space="preserve">              </w:t>
      </w:r>
      <w:r w:rsidRPr="00D677F3" w:rsidR="006B31CF">
        <w:rPr>
          <w:rFonts w:asciiTheme="majorHAnsi" w:hAnsiTheme="majorHAnsi" w:cstheme="majorHAnsi"/>
        </w:rPr>
        <w:t>Diante de todo exposto, esta Relatoria considera que a presente propositura não apresenta vícios, recebendo parecer FAVORÁVEL.</w:t>
      </w: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20584A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Sala das Comissões, em 2</w:t>
      </w:r>
      <w:r w:rsidR="00E403ED">
        <w:rPr>
          <w:rFonts w:asciiTheme="majorHAnsi" w:hAnsiTheme="majorHAnsi" w:cstheme="majorHAnsi"/>
        </w:rPr>
        <w:t>6</w:t>
      </w:r>
      <w:r w:rsidR="00D41199">
        <w:rPr>
          <w:rFonts w:asciiTheme="majorHAnsi" w:hAnsiTheme="majorHAnsi" w:cstheme="majorHAnsi"/>
        </w:rPr>
        <w:t xml:space="preserve"> </w:t>
      </w:r>
      <w:r w:rsidR="00637C5F">
        <w:rPr>
          <w:rFonts w:asciiTheme="majorHAnsi" w:hAnsiTheme="majorHAnsi" w:cstheme="majorHAnsi"/>
        </w:rPr>
        <w:t xml:space="preserve">de </w:t>
      </w:r>
      <w:r w:rsidR="000D376F">
        <w:rPr>
          <w:rFonts w:asciiTheme="majorHAnsi" w:hAnsiTheme="majorHAnsi" w:cstheme="majorHAnsi"/>
        </w:rPr>
        <w:t>novem</w:t>
      </w:r>
      <w:r w:rsidR="004427D7">
        <w:rPr>
          <w:rFonts w:asciiTheme="majorHAnsi" w:hAnsiTheme="majorHAnsi" w:cstheme="majorHAnsi"/>
        </w:rPr>
        <w:t>bro</w:t>
      </w:r>
      <w:r w:rsidRPr="00D677F3" w:rsidR="006B31CF">
        <w:rPr>
          <w:rFonts w:asciiTheme="majorHAnsi" w:hAnsiTheme="majorHAnsi" w:cstheme="majorHAnsi"/>
        </w:rPr>
        <w:t xml:space="preserve"> de 2025.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</w:p>
    <w:p w:rsidR="00D75C8D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20584A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  <w:b/>
        </w:rPr>
        <w:t>Relatora</w:t>
      </w: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CD6830" w:rsidP="00CD6830">
      <w:pPr>
        <w:rPr>
          <w:rFonts w:asciiTheme="majorHAnsi" w:hAnsiTheme="majorHAnsi" w:cstheme="majorHAnsi"/>
          <w:b/>
          <w:sz w:val="24"/>
          <w:szCs w:val="24"/>
        </w:rPr>
      </w:pPr>
    </w:p>
    <w:p w:rsidR="00D75C8D" w:rsidRPr="00CD6830" w:rsidP="003A3253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8E6358">
        <w:rPr>
          <w:rFonts w:asciiTheme="majorHAnsi" w:hAnsiTheme="majorHAnsi" w:cstheme="majorHAnsi"/>
          <w:b/>
          <w:sz w:val="24"/>
          <w:szCs w:val="24"/>
        </w:rPr>
        <w:t>PARECER FAVORÁVEL DA COMISSÃO DE FINANÇAS E ORÇAMENTO.</w:t>
      </w: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</w:rPr>
        <w:t xml:space="preserve">Seguindo o Voto exarado pela Relatora e conforme determina o artigo 37, da Resolução Nº 276 de 09 de novembro de 2.010, a Comissão de Finanças e Orçamento, formaliza o presente </w:t>
      </w:r>
      <w:r w:rsidRPr="00D677F3">
        <w:rPr>
          <w:rFonts w:asciiTheme="majorHAnsi" w:hAnsiTheme="majorHAnsi" w:cstheme="majorHAnsi"/>
          <w:b/>
        </w:rPr>
        <w:t>PARECER FAVORÁVEL.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>Sala das Co</w:t>
      </w:r>
      <w:r w:rsidR="00637C5F">
        <w:rPr>
          <w:rFonts w:asciiTheme="majorHAnsi" w:hAnsiTheme="majorHAnsi" w:cstheme="majorHAnsi"/>
        </w:rPr>
        <w:t xml:space="preserve">missões, em </w:t>
      </w:r>
      <w:r w:rsidR="00EB5A69">
        <w:rPr>
          <w:rFonts w:asciiTheme="majorHAnsi" w:hAnsiTheme="majorHAnsi" w:cstheme="majorHAnsi"/>
        </w:rPr>
        <w:t>2</w:t>
      </w:r>
      <w:r w:rsidR="00E403ED">
        <w:rPr>
          <w:rFonts w:asciiTheme="majorHAnsi" w:hAnsiTheme="majorHAnsi" w:cstheme="majorHAnsi"/>
        </w:rPr>
        <w:t>6</w:t>
      </w:r>
      <w:bookmarkStart w:id="0" w:name="_GoBack"/>
      <w:bookmarkEnd w:id="0"/>
      <w:r w:rsidR="00637C5F">
        <w:rPr>
          <w:rFonts w:asciiTheme="majorHAnsi" w:hAnsiTheme="majorHAnsi" w:cstheme="majorHAnsi"/>
        </w:rPr>
        <w:t xml:space="preserve"> de </w:t>
      </w:r>
      <w:r w:rsidR="000D376F">
        <w:rPr>
          <w:rFonts w:asciiTheme="majorHAnsi" w:hAnsiTheme="majorHAnsi" w:cstheme="majorHAnsi"/>
        </w:rPr>
        <w:t>novemb</w:t>
      </w:r>
      <w:r w:rsidR="004427D7">
        <w:rPr>
          <w:rFonts w:asciiTheme="majorHAnsi" w:hAnsiTheme="majorHAnsi" w:cstheme="majorHAnsi"/>
        </w:rPr>
        <w:t>ro</w:t>
      </w:r>
      <w:r w:rsidRPr="00D677F3">
        <w:rPr>
          <w:rFonts w:asciiTheme="majorHAnsi" w:hAnsiTheme="majorHAnsi" w:cstheme="majorHAnsi"/>
        </w:rPr>
        <w:t xml:space="preserve"> de 2025.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660F1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  <w:r w:rsidRPr="00D677F3">
        <w:rPr>
          <w:rFonts w:asciiTheme="majorHAnsi" w:hAnsiTheme="majorHAnsi" w:cstheme="majorHAnsi"/>
          <w:b/>
          <w:u w:val="single"/>
        </w:rPr>
        <w:t>COMISSÃO DE FINANÇAS E ORÇAMENTO</w:t>
      </w:r>
    </w:p>
    <w:p w:rsidR="00525ABC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Presidente/Relatora</w:t>
      </w:r>
    </w:p>
    <w:p w:rsidR="00D75C8D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525ABC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 MÁRCIO DENER CORAN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Vice-Presidente</w:t>
      </w:r>
    </w:p>
    <w:p w:rsidR="00D75C8D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525ABC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MARCOS PAULO CEGATTI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  <w:r w:rsidRPr="00D677F3">
        <w:rPr>
          <w:rFonts w:asciiTheme="majorHAnsi" w:hAnsiTheme="majorHAnsi" w:cstheme="majorHAnsi"/>
          <w:b/>
        </w:rPr>
        <w:t>Membro</w:t>
      </w: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13148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color w:val="404040"/>
        </w:rPr>
      </w:pPr>
    </w:p>
    <w:sectPr w:rsidSect="00914ADC">
      <w:headerReference w:type="even" r:id="rId5"/>
      <w:headerReference w:type="default" r:id="rId6"/>
      <w:footerReference w:type="default" r:id="rId7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B06851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B068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851" w:rsidP="00F8165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-340995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B06851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B06851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975FEC"/>
    <w:multiLevelType w:val="hybridMultilevel"/>
    <w:tmpl w:val="070EF6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BD3290"/>
    <w:multiLevelType w:val="hybridMultilevel"/>
    <w:tmpl w:val="804688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B32B7E"/>
    <w:multiLevelType w:val="multilevel"/>
    <w:tmpl w:val="84FA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EE24EF"/>
    <w:multiLevelType w:val="hybridMultilevel"/>
    <w:tmpl w:val="51548D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9B7115"/>
    <w:multiLevelType w:val="hybridMultilevel"/>
    <w:tmpl w:val="F872CD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F935EB"/>
    <w:multiLevelType w:val="hybridMultilevel"/>
    <w:tmpl w:val="1F2422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5F791D"/>
    <w:multiLevelType w:val="hybridMultilevel"/>
    <w:tmpl w:val="893417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EF5C32"/>
    <w:multiLevelType w:val="hybridMultilevel"/>
    <w:tmpl w:val="C616D3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10"/>
  </w:num>
  <w:num w:numId="5">
    <w:abstractNumId w:val="20"/>
  </w:num>
  <w:num w:numId="6">
    <w:abstractNumId w:val="22"/>
  </w:num>
  <w:num w:numId="7">
    <w:abstractNumId w:val="4"/>
  </w:num>
  <w:num w:numId="8">
    <w:abstractNumId w:val="12"/>
  </w:num>
  <w:num w:numId="9">
    <w:abstractNumId w:val="9"/>
  </w:num>
  <w:num w:numId="10">
    <w:abstractNumId w:val="8"/>
  </w:num>
  <w:num w:numId="11">
    <w:abstractNumId w:val="6"/>
  </w:num>
  <w:num w:numId="12">
    <w:abstractNumId w:val="15"/>
  </w:num>
  <w:num w:numId="13">
    <w:abstractNumId w:val="0"/>
  </w:num>
  <w:num w:numId="14">
    <w:abstractNumId w:val="3"/>
  </w:num>
  <w:num w:numId="15">
    <w:abstractNumId w:val="19"/>
  </w:num>
  <w:num w:numId="16">
    <w:abstractNumId w:val="13"/>
  </w:num>
  <w:num w:numId="17">
    <w:abstractNumId w:val="18"/>
  </w:num>
  <w:num w:numId="18">
    <w:abstractNumId w:val="5"/>
  </w:num>
  <w:num w:numId="19">
    <w:abstractNumId w:val="2"/>
  </w:num>
  <w:num w:numId="20">
    <w:abstractNumId w:val="17"/>
  </w:num>
  <w:num w:numId="21">
    <w:abstractNumId w:val="16"/>
  </w:num>
  <w:num w:numId="22">
    <w:abstractNumId w:val="2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602D"/>
    <w:rsid w:val="00026797"/>
    <w:rsid w:val="00027D0F"/>
    <w:rsid w:val="00037531"/>
    <w:rsid w:val="00041A2D"/>
    <w:rsid w:val="00057A9B"/>
    <w:rsid w:val="000622A6"/>
    <w:rsid w:val="00064FC8"/>
    <w:rsid w:val="00070FE7"/>
    <w:rsid w:val="00071EF2"/>
    <w:rsid w:val="00072EB5"/>
    <w:rsid w:val="0008150E"/>
    <w:rsid w:val="00092E53"/>
    <w:rsid w:val="00096F36"/>
    <w:rsid w:val="000A1BE0"/>
    <w:rsid w:val="000A732D"/>
    <w:rsid w:val="000B1C6D"/>
    <w:rsid w:val="000C4A24"/>
    <w:rsid w:val="000D376F"/>
    <w:rsid w:val="000D498E"/>
    <w:rsid w:val="000E1702"/>
    <w:rsid w:val="000F4933"/>
    <w:rsid w:val="00126AE5"/>
    <w:rsid w:val="001430B8"/>
    <w:rsid w:val="0015590E"/>
    <w:rsid w:val="00181506"/>
    <w:rsid w:val="00187FC6"/>
    <w:rsid w:val="001902E0"/>
    <w:rsid w:val="00192536"/>
    <w:rsid w:val="001A3CE4"/>
    <w:rsid w:val="001B7303"/>
    <w:rsid w:val="0020165D"/>
    <w:rsid w:val="0020584A"/>
    <w:rsid w:val="00213987"/>
    <w:rsid w:val="00227E2C"/>
    <w:rsid w:val="00234376"/>
    <w:rsid w:val="00297379"/>
    <w:rsid w:val="002A2BD3"/>
    <w:rsid w:val="002A648D"/>
    <w:rsid w:val="002B5A45"/>
    <w:rsid w:val="002B71AC"/>
    <w:rsid w:val="002C0A99"/>
    <w:rsid w:val="002D03EC"/>
    <w:rsid w:val="002E3052"/>
    <w:rsid w:val="002F3157"/>
    <w:rsid w:val="002F589A"/>
    <w:rsid w:val="003121C8"/>
    <w:rsid w:val="00314B47"/>
    <w:rsid w:val="003200AF"/>
    <w:rsid w:val="00322469"/>
    <w:rsid w:val="00346786"/>
    <w:rsid w:val="00371A69"/>
    <w:rsid w:val="0038129E"/>
    <w:rsid w:val="00381C00"/>
    <w:rsid w:val="003A2ADE"/>
    <w:rsid w:val="003A3253"/>
    <w:rsid w:val="003A5737"/>
    <w:rsid w:val="003A796B"/>
    <w:rsid w:val="003B1A59"/>
    <w:rsid w:val="003C6BCB"/>
    <w:rsid w:val="003D250F"/>
    <w:rsid w:val="003D6D21"/>
    <w:rsid w:val="003E5A51"/>
    <w:rsid w:val="003E60A2"/>
    <w:rsid w:val="003F0B47"/>
    <w:rsid w:val="003F64A5"/>
    <w:rsid w:val="00405098"/>
    <w:rsid w:val="00423EBB"/>
    <w:rsid w:val="00441DC5"/>
    <w:rsid w:val="004427D7"/>
    <w:rsid w:val="00446FA1"/>
    <w:rsid w:val="004557B8"/>
    <w:rsid w:val="00456770"/>
    <w:rsid w:val="00472595"/>
    <w:rsid w:val="004755B6"/>
    <w:rsid w:val="00493896"/>
    <w:rsid w:val="00494DA8"/>
    <w:rsid w:val="004A4450"/>
    <w:rsid w:val="004B3932"/>
    <w:rsid w:val="004B3FD2"/>
    <w:rsid w:val="004B6FDF"/>
    <w:rsid w:val="004C0017"/>
    <w:rsid w:val="004C076A"/>
    <w:rsid w:val="004D46DA"/>
    <w:rsid w:val="004E6092"/>
    <w:rsid w:val="00500EA1"/>
    <w:rsid w:val="005242B1"/>
    <w:rsid w:val="00524D00"/>
    <w:rsid w:val="00525ABC"/>
    <w:rsid w:val="00543E03"/>
    <w:rsid w:val="005515A3"/>
    <w:rsid w:val="005559D9"/>
    <w:rsid w:val="0055728D"/>
    <w:rsid w:val="0057515A"/>
    <w:rsid w:val="0059215B"/>
    <w:rsid w:val="005A235E"/>
    <w:rsid w:val="005B27A9"/>
    <w:rsid w:val="005B5D7B"/>
    <w:rsid w:val="005B766F"/>
    <w:rsid w:val="005D21C6"/>
    <w:rsid w:val="005E491E"/>
    <w:rsid w:val="005F2654"/>
    <w:rsid w:val="005F4E55"/>
    <w:rsid w:val="005F54DA"/>
    <w:rsid w:val="00607589"/>
    <w:rsid w:val="006134E3"/>
    <w:rsid w:val="00613747"/>
    <w:rsid w:val="00620B91"/>
    <w:rsid w:val="00622738"/>
    <w:rsid w:val="006231B8"/>
    <w:rsid w:val="006231BE"/>
    <w:rsid w:val="00637C5F"/>
    <w:rsid w:val="00670C69"/>
    <w:rsid w:val="006834FE"/>
    <w:rsid w:val="0069403A"/>
    <w:rsid w:val="00697874"/>
    <w:rsid w:val="006A54A9"/>
    <w:rsid w:val="006A762A"/>
    <w:rsid w:val="006B31CF"/>
    <w:rsid w:val="006D1946"/>
    <w:rsid w:val="006E14A1"/>
    <w:rsid w:val="006F48DD"/>
    <w:rsid w:val="007038AD"/>
    <w:rsid w:val="00716314"/>
    <w:rsid w:val="00741F3B"/>
    <w:rsid w:val="00753ABE"/>
    <w:rsid w:val="007556D8"/>
    <w:rsid w:val="0078178E"/>
    <w:rsid w:val="00783794"/>
    <w:rsid w:val="00784CD4"/>
    <w:rsid w:val="00785E1B"/>
    <w:rsid w:val="007911EF"/>
    <w:rsid w:val="007A08D1"/>
    <w:rsid w:val="007B6058"/>
    <w:rsid w:val="007C6029"/>
    <w:rsid w:val="007C6187"/>
    <w:rsid w:val="007C7AD8"/>
    <w:rsid w:val="00804434"/>
    <w:rsid w:val="0081335D"/>
    <w:rsid w:val="00835CF5"/>
    <w:rsid w:val="00842408"/>
    <w:rsid w:val="00855DD2"/>
    <w:rsid w:val="008641BE"/>
    <w:rsid w:val="00864928"/>
    <w:rsid w:val="0086613A"/>
    <w:rsid w:val="008677CB"/>
    <w:rsid w:val="00881E60"/>
    <w:rsid w:val="0088465F"/>
    <w:rsid w:val="008905C2"/>
    <w:rsid w:val="008956B8"/>
    <w:rsid w:val="008A537A"/>
    <w:rsid w:val="008C08C5"/>
    <w:rsid w:val="008C125D"/>
    <w:rsid w:val="008C4AA2"/>
    <w:rsid w:val="008E6358"/>
    <w:rsid w:val="008F67DA"/>
    <w:rsid w:val="00902EE1"/>
    <w:rsid w:val="009048A2"/>
    <w:rsid w:val="00904ADF"/>
    <w:rsid w:val="00914ADC"/>
    <w:rsid w:val="00920A3F"/>
    <w:rsid w:val="00925E1A"/>
    <w:rsid w:val="0098102A"/>
    <w:rsid w:val="00983B49"/>
    <w:rsid w:val="009D4F58"/>
    <w:rsid w:val="009D56B8"/>
    <w:rsid w:val="009D6B7C"/>
    <w:rsid w:val="00A00E3E"/>
    <w:rsid w:val="00A12DD9"/>
    <w:rsid w:val="00A14E63"/>
    <w:rsid w:val="00A164DC"/>
    <w:rsid w:val="00A23604"/>
    <w:rsid w:val="00A2712E"/>
    <w:rsid w:val="00A27446"/>
    <w:rsid w:val="00A303E0"/>
    <w:rsid w:val="00A52713"/>
    <w:rsid w:val="00A672C0"/>
    <w:rsid w:val="00A8112A"/>
    <w:rsid w:val="00A92E38"/>
    <w:rsid w:val="00AB50DC"/>
    <w:rsid w:val="00AD2770"/>
    <w:rsid w:val="00AE4353"/>
    <w:rsid w:val="00AE5858"/>
    <w:rsid w:val="00AE6D13"/>
    <w:rsid w:val="00AF0C05"/>
    <w:rsid w:val="00AF3296"/>
    <w:rsid w:val="00AF4AC7"/>
    <w:rsid w:val="00B06851"/>
    <w:rsid w:val="00B30708"/>
    <w:rsid w:val="00B33FF5"/>
    <w:rsid w:val="00B45642"/>
    <w:rsid w:val="00B550DC"/>
    <w:rsid w:val="00B57090"/>
    <w:rsid w:val="00B97734"/>
    <w:rsid w:val="00BA48C7"/>
    <w:rsid w:val="00BE2A4B"/>
    <w:rsid w:val="00BE41D6"/>
    <w:rsid w:val="00BE503F"/>
    <w:rsid w:val="00BE68FF"/>
    <w:rsid w:val="00BE6938"/>
    <w:rsid w:val="00BF2A6F"/>
    <w:rsid w:val="00BF47AD"/>
    <w:rsid w:val="00C00566"/>
    <w:rsid w:val="00C076DE"/>
    <w:rsid w:val="00C10154"/>
    <w:rsid w:val="00C2458E"/>
    <w:rsid w:val="00C3120C"/>
    <w:rsid w:val="00C31C89"/>
    <w:rsid w:val="00C4171F"/>
    <w:rsid w:val="00C56DF7"/>
    <w:rsid w:val="00C74E3F"/>
    <w:rsid w:val="00C75973"/>
    <w:rsid w:val="00CA4349"/>
    <w:rsid w:val="00CC230E"/>
    <w:rsid w:val="00CC3E72"/>
    <w:rsid w:val="00CD6830"/>
    <w:rsid w:val="00CF288D"/>
    <w:rsid w:val="00D233F3"/>
    <w:rsid w:val="00D33D19"/>
    <w:rsid w:val="00D41199"/>
    <w:rsid w:val="00D47DCE"/>
    <w:rsid w:val="00D52DAE"/>
    <w:rsid w:val="00D543E6"/>
    <w:rsid w:val="00D635A7"/>
    <w:rsid w:val="00D66197"/>
    <w:rsid w:val="00D677F3"/>
    <w:rsid w:val="00D735E2"/>
    <w:rsid w:val="00D75C8D"/>
    <w:rsid w:val="00D80A2E"/>
    <w:rsid w:val="00D81BDB"/>
    <w:rsid w:val="00D85ED2"/>
    <w:rsid w:val="00D9258F"/>
    <w:rsid w:val="00DA7AB4"/>
    <w:rsid w:val="00DC29E1"/>
    <w:rsid w:val="00DC32F0"/>
    <w:rsid w:val="00DD7EAE"/>
    <w:rsid w:val="00DE2A9A"/>
    <w:rsid w:val="00DF605F"/>
    <w:rsid w:val="00E11ECC"/>
    <w:rsid w:val="00E3543A"/>
    <w:rsid w:val="00E3658D"/>
    <w:rsid w:val="00E403ED"/>
    <w:rsid w:val="00E41ADD"/>
    <w:rsid w:val="00E471F3"/>
    <w:rsid w:val="00E57571"/>
    <w:rsid w:val="00E57668"/>
    <w:rsid w:val="00E7438B"/>
    <w:rsid w:val="00E86C91"/>
    <w:rsid w:val="00E978F5"/>
    <w:rsid w:val="00EA0447"/>
    <w:rsid w:val="00EA375D"/>
    <w:rsid w:val="00EA4E83"/>
    <w:rsid w:val="00EB1570"/>
    <w:rsid w:val="00EB3C9A"/>
    <w:rsid w:val="00EB5A69"/>
    <w:rsid w:val="00EB5DDD"/>
    <w:rsid w:val="00EB6E4A"/>
    <w:rsid w:val="00EC5677"/>
    <w:rsid w:val="00ED7D93"/>
    <w:rsid w:val="00EE457C"/>
    <w:rsid w:val="00EF4DE4"/>
    <w:rsid w:val="00EF630E"/>
    <w:rsid w:val="00F00F78"/>
    <w:rsid w:val="00F10F57"/>
    <w:rsid w:val="00F13148"/>
    <w:rsid w:val="00F21F60"/>
    <w:rsid w:val="00F304D4"/>
    <w:rsid w:val="00F42F8D"/>
    <w:rsid w:val="00F52EC1"/>
    <w:rsid w:val="00F55E24"/>
    <w:rsid w:val="00F6470D"/>
    <w:rsid w:val="00F660F1"/>
    <w:rsid w:val="00F733EC"/>
    <w:rsid w:val="00F74441"/>
    <w:rsid w:val="00F81655"/>
    <w:rsid w:val="00F83282"/>
    <w:rsid w:val="00F91A1F"/>
    <w:rsid w:val="00F921DB"/>
    <w:rsid w:val="00FA65BC"/>
    <w:rsid w:val="00FB12A6"/>
    <w:rsid w:val="00FC75D4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09A93-5986-4A65-992B-A5BDF304F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859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Conta da Microsoft</cp:lastModifiedBy>
  <cp:revision>3</cp:revision>
  <cp:lastPrinted>2025-02-18T14:53:00Z</cp:lastPrinted>
  <dcterms:created xsi:type="dcterms:W3CDTF">2025-11-25T14:06:00Z</dcterms:created>
  <dcterms:modified xsi:type="dcterms:W3CDTF">2025-11-26T17:37:00Z</dcterms:modified>
</cp:coreProperties>
</file>