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60C32" w:rsidP="00160C32">
      <w:pPr>
        <w:pStyle w:val="Standard"/>
        <w:suppressAutoHyphens/>
        <w:rPr>
          <w:b/>
          <w:sz w:val="24"/>
          <w:szCs w:val="24"/>
        </w:rPr>
      </w:pPr>
      <w:r>
        <w:rPr>
          <w:b/>
          <w:sz w:val="24"/>
          <w:szCs w:val="24"/>
        </w:rPr>
        <w:t>Indicação Nº 959/2025</w:t>
      </w:r>
      <w:r>
        <w:rPr>
          <w:b/>
          <w:sz w:val="24"/>
          <w:szCs w:val="24"/>
        </w:rPr>
        <w:t>Indicação Nº 959/2025</w:t>
      </w:r>
    </w:p>
    <w:p w:rsidR="002A11BB" w:rsidP="00160C32">
      <w:pPr>
        <w:pStyle w:val="Standard"/>
        <w:suppressAutoHyphens/>
        <w:rPr>
          <w:b/>
          <w:sz w:val="24"/>
          <w:szCs w:val="24"/>
        </w:rPr>
      </w:pPr>
    </w:p>
    <w:p w:rsidR="002A11BB" w:rsidRPr="00160C32" w:rsidP="00160C32">
      <w:pPr>
        <w:pStyle w:val="Standard"/>
        <w:suppressAutoHyphens/>
        <w:rPr>
          <w:b/>
          <w:sz w:val="24"/>
          <w:szCs w:val="24"/>
        </w:rPr>
      </w:pPr>
    </w:p>
    <w:p w:rsidR="00A029EB" w:rsidRPr="0066404E" w:rsidP="002A11BB">
      <w:pPr>
        <w:pStyle w:val="Standard"/>
        <w:pBdr>
          <w:top w:val="single" w:sz="6" w:space="1" w:color="000000"/>
          <w:left w:val="single" w:sz="6" w:space="1" w:color="000000"/>
          <w:bottom w:val="single" w:sz="6" w:space="1" w:color="000000"/>
          <w:right w:val="single" w:sz="6" w:space="1" w:color="000000"/>
        </w:pBdr>
        <w:spacing w:line="276" w:lineRule="auto"/>
        <w:jc w:val="both"/>
        <w:rPr>
          <w:b/>
          <w:sz w:val="24"/>
          <w:szCs w:val="24"/>
        </w:rPr>
      </w:pPr>
      <w:r w:rsidRPr="0066404E">
        <w:rPr>
          <w:rStyle w:val="Strong"/>
          <w:sz w:val="24"/>
          <w:szCs w:val="24"/>
        </w:rPr>
        <w:t>EMENTA</w:t>
      </w:r>
      <w:r w:rsidRPr="0066404E">
        <w:rPr>
          <w:sz w:val="24"/>
          <w:szCs w:val="24"/>
        </w:rPr>
        <w:t>:</w:t>
      </w:r>
      <w:r>
        <w:t xml:space="preserve"> </w:t>
      </w:r>
      <w:r w:rsidRPr="0066404E">
        <w:rPr>
          <w:b/>
          <w:sz w:val="24"/>
          <w:szCs w:val="24"/>
        </w:rPr>
        <w:t>INDICO AO EXMO. SR. PREFEITO MUNICIPAL DR. PAULO DE OLIVEIRA E SILVA, POR INTERMÉDIO DA SECRETARIA COMPETENTE, A REALIZAÇÃO DE ESTUDOS PARA VIABILIZAR O AUMENTO DOS RECURSOS FINANCEIROS DESTINADOS ÀS INSTITUIÇÕES DO TERCEIRO SETOR QUE MANTÊM CONVÊNIOS COM A PREFEITURA MUNICIPAL, A FIM DE SUPERAÇÃO DAS DIFICULDADES ENFRENTADAS NA MANUTENÇÃO DOS SERVIÇOS ESSENCIAIS À COMUNIDADE. TAIS SERVIÇOS INCLUEM O ATENDIMENTO A CRIANÇAS, ADOLESCENTES E IDOSOS NOS SERVIÇOS DE ASSISTÊNCIA SOCIAL, SAÚDE E EDUCAÇÃO NO MUNICÍPIO DE MOGI MIRIM, COM O FIM DE GARANTIR A QUALIDADE E A CONTINUIDADE DO ATENDIMENTO À POPULAÇÃO.</w:t>
      </w:r>
    </w:p>
    <w:p w:rsidR="00AD7B9A" w:rsidP="00695016">
      <w:pPr>
        <w:pStyle w:val="Standard"/>
        <w:suppressAutoHyphens/>
        <w:spacing w:line="276" w:lineRule="auto"/>
        <w:jc w:val="both"/>
        <w:rPr>
          <w:rStyle w:val="Fontepargpadro00"/>
          <w:b/>
          <w:sz w:val="24"/>
          <w:szCs w:val="24"/>
        </w:rPr>
      </w:pPr>
    </w:p>
    <w:p w:rsidR="002A11BB" w:rsidP="00695016">
      <w:pPr>
        <w:pStyle w:val="Standard"/>
        <w:suppressAutoHyphens/>
        <w:spacing w:line="276" w:lineRule="auto"/>
        <w:jc w:val="both"/>
        <w:rPr>
          <w:rStyle w:val="Fontepargpadro00"/>
          <w:b/>
          <w:sz w:val="24"/>
          <w:szCs w:val="24"/>
        </w:rPr>
      </w:pPr>
    </w:p>
    <w:p w:rsidR="00160C32" w:rsidP="00695016">
      <w:pPr>
        <w:pStyle w:val="Standard"/>
        <w:suppressAutoHyphens/>
        <w:spacing w:line="276" w:lineRule="auto"/>
        <w:jc w:val="both"/>
      </w:pPr>
      <w:r>
        <w:rPr>
          <w:rStyle w:val="Fontepargpadro00"/>
          <w:b/>
          <w:sz w:val="24"/>
          <w:szCs w:val="24"/>
        </w:rPr>
        <w:t>SENHOR PRESIDENTE,</w:t>
      </w:r>
    </w:p>
    <w:p w:rsidR="00160C32" w:rsidP="00695016">
      <w:pPr>
        <w:pStyle w:val="Standard"/>
        <w:suppressAutoHyphens/>
        <w:spacing w:line="276" w:lineRule="auto"/>
        <w:jc w:val="both"/>
      </w:pPr>
      <w:r>
        <w:rPr>
          <w:rStyle w:val="Fontepargpadro00"/>
          <w:b/>
          <w:sz w:val="24"/>
          <w:szCs w:val="24"/>
        </w:rPr>
        <w:t>SENHORAS E SENHORES VEREADORES,</w:t>
      </w:r>
    </w:p>
    <w:p w:rsidR="0066404E" w:rsidRPr="0066404E" w:rsidP="0066404E">
      <w:pPr>
        <w:pStyle w:val="NormalWeb"/>
        <w:jc w:val="both"/>
        <w:rPr>
          <w:b/>
        </w:rPr>
      </w:pPr>
      <w:r>
        <w:tab/>
      </w:r>
      <w:r w:rsidRPr="0066404E">
        <w:rPr>
          <w:rStyle w:val="Strong"/>
          <w:b w:val="0"/>
        </w:rPr>
        <w:t xml:space="preserve">É amplamente reconhecido que as </w:t>
      </w:r>
      <w:r w:rsidRPr="00567368">
        <w:rPr>
          <w:rStyle w:val="Strong"/>
        </w:rPr>
        <w:t>Organizações da Sociedade Civil (</w:t>
      </w:r>
      <w:r w:rsidRPr="00567368">
        <w:rPr>
          <w:rStyle w:val="Strong"/>
        </w:rPr>
        <w:t>OSCs</w:t>
      </w:r>
      <w:r w:rsidRPr="00567368">
        <w:rPr>
          <w:rStyle w:val="Strong"/>
        </w:rPr>
        <w:t>),</w:t>
      </w:r>
      <w:r w:rsidRPr="0066404E">
        <w:rPr>
          <w:rStyle w:val="Strong"/>
          <w:b w:val="0"/>
        </w:rPr>
        <w:t xml:space="preserve"> instituições do Terceiro Setor, desempenham um papel fundamental nas áreas de saúde, educação e assistência social, sendo peças-chave na prestação de serviços essenciais à nossa comunidade.</w:t>
      </w:r>
    </w:p>
    <w:p w:rsidR="0066404E" w:rsidRPr="0066404E" w:rsidP="0066404E">
      <w:pPr>
        <w:pStyle w:val="NormalWeb"/>
        <w:jc w:val="both"/>
        <w:rPr>
          <w:b/>
        </w:rPr>
      </w:pPr>
      <w:r>
        <w:rPr>
          <w:rStyle w:val="Strong"/>
          <w:b w:val="0"/>
        </w:rPr>
        <w:tab/>
      </w:r>
      <w:r w:rsidRPr="0066404E">
        <w:rPr>
          <w:rStyle w:val="Strong"/>
          <w:b w:val="0"/>
        </w:rPr>
        <w:t>Historicamente, Mogi Mirim se destaca como um polo de instituições que surgiram ao longo dos anos, através de iniciativas de pessoas comprometidas em oferecer apoio educacional, cuidados com crianças com necessidades especiais, acolhimento de crianças e adolescentes em situação de abandono, além do apoio humanizado aos idosos e àqueles em situação de vulnerabilidade social.</w:t>
      </w:r>
    </w:p>
    <w:p w:rsidR="0066404E" w:rsidRPr="0066404E" w:rsidP="0066404E">
      <w:pPr>
        <w:pStyle w:val="NormalWeb"/>
        <w:jc w:val="both"/>
        <w:rPr>
          <w:b/>
        </w:rPr>
      </w:pPr>
      <w:r>
        <w:rPr>
          <w:rStyle w:val="Strong"/>
          <w:b w:val="0"/>
        </w:rPr>
        <w:tab/>
      </w:r>
      <w:r w:rsidRPr="0066404E">
        <w:rPr>
          <w:rStyle w:val="Strong"/>
          <w:b w:val="0"/>
        </w:rPr>
        <w:t>Esses trabalhos, realizados por diversas associações, são vitais para o bem-estar da população. As ações dessas instituições abrangem desde cuidados com a saúde, através do acolhimento de idosos, até a assistência social, com o acolhimento de pessoas em situação de rua, passando pela educação básica e formação.</w:t>
      </w:r>
    </w:p>
    <w:p w:rsidR="0066404E" w:rsidRPr="0066404E" w:rsidP="0066404E">
      <w:pPr>
        <w:pStyle w:val="NormalWeb"/>
        <w:jc w:val="both"/>
        <w:rPr>
          <w:b/>
        </w:rPr>
      </w:pPr>
      <w:r>
        <w:rPr>
          <w:rStyle w:val="Strong"/>
          <w:b w:val="0"/>
        </w:rPr>
        <w:tab/>
      </w:r>
      <w:r w:rsidRPr="0066404E">
        <w:rPr>
          <w:rStyle w:val="Strong"/>
          <w:b w:val="0"/>
        </w:rPr>
        <w:t>Nos últimos anos, as instituições do Terceiro Setor enfrentaram sérias dificuldades financeiras, agravadas pela pandemia da Covid-19, que paralisou eventos e ações de arrecadação essenciais. Durante esse período, as organizações viram suas principais fontes de recursos (como festas, bingos e vendas de alimentos) suspensas, prejudicando sua capacidade de manter a oferta dos serviços.</w:t>
      </w:r>
    </w:p>
    <w:p w:rsidR="0066404E" w:rsidRPr="0066404E" w:rsidP="0066404E">
      <w:pPr>
        <w:pStyle w:val="NormalWeb"/>
        <w:jc w:val="both"/>
        <w:rPr>
          <w:b/>
        </w:rPr>
      </w:pPr>
      <w:r>
        <w:rPr>
          <w:rStyle w:val="Strong"/>
          <w:b w:val="0"/>
        </w:rPr>
        <w:tab/>
      </w:r>
      <w:r w:rsidRPr="0066404E">
        <w:rPr>
          <w:rStyle w:val="Strong"/>
          <w:b w:val="0"/>
        </w:rPr>
        <w:t xml:space="preserve">O cenário pós-pandemia ainda se reflete em custos elevados e desafios diários para as instituições, que seguem lutando para manter suas atividades e cumprir sua missão social. Diante disso, acredito que um aumento significativo nos valores repassados às </w:t>
      </w:r>
      <w:r w:rsidRPr="0066404E">
        <w:rPr>
          <w:rStyle w:val="Strong"/>
          <w:b w:val="0"/>
        </w:rPr>
        <w:t>OSCs</w:t>
      </w:r>
      <w:r w:rsidRPr="0066404E">
        <w:rPr>
          <w:rStyle w:val="Strong"/>
          <w:b w:val="0"/>
        </w:rPr>
        <w:t>, além do reajuste inflacionário anual, pode ser a solução necessária para garantir a continuidade dos serviços prestados e a qualidade no atendimento à nossa população.</w:t>
      </w:r>
    </w:p>
    <w:p w:rsidR="0066404E" w:rsidRPr="00567368" w:rsidP="0066404E">
      <w:pPr>
        <w:pStyle w:val="NormalWeb"/>
        <w:jc w:val="both"/>
      </w:pPr>
      <w:r>
        <w:rPr>
          <w:rStyle w:val="Strong"/>
          <w:b w:val="0"/>
        </w:rPr>
        <w:tab/>
      </w:r>
      <w:r w:rsidRPr="0066404E">
        <w:rPr>
          <w:rStyle w:val="Strong"/>
          <w:b w:val="0"/>
        </w:rPr>
        <w:t xml:space="preserve">Portanto, apresento a V. </w:t>
      </w:r>
      <w:r w:rsidRPr="0066404E">
        <w:rPr>
          <w:rStyle w:val="Strong"/>
          <w:b w:val="0"/>
        </w:rPr>
        <w:t>Ex</w:t>
      </w:r>
      <w:r w:rsidRPr="0066404E">
        <w:rPr>
          <w:rStyle w:val="Strong"/>
          <w:b w:val="0"/>
        </w:rPr>
        <w:t xml:space="preserve">ª., nos termos do Art. 160 do Regimento Interno, a presente </w:t>
      </w:r>
      <w:r>
        <w:rPr>
          <w:rStyle w:val="Strong"/>
        </w:rPr>
        <w:t xml:space="preserve">INDICAÇÃO </w:t>
      </w:r>
      <w:r>
        <w:t xml:space="preserve">a ser encaminhada ao Senhor Prefeito Municipal Dr. Paulo de Oliveira e Silva, juntamente com a Secretaria competente, </w:t>
      </w:r>
      <w:r w:rsidRPr="00567368">
        <w:rPr>
          <w:rStyle w:val="Strong"/>
        </w:rPr>
        <w:t>solicitando que sejam realizados estudos para viabilizar o aumento dos valores financeiros, além do reajuste anual, repassados às instituições do Terceiro Setor que possuem convênios com o Poder Público, e que prestam serviços fundamentais no atendimento de crianças, adolescentes e idosos no município de Mogi Mirim.</w:t>
      </w:r>
    </w:p>
    <w:p w:rsidR="00A85AB9" w:rsidRPr="00697F71" w:rsidP="00D14B0A">
      <w:pPr>
        <w:pStyle w:val="NormalWeb"/>
        <w:jc w:val="both"/>
      </w:pPr>
    </w:p>
    <w:p w:rsidR="002A11BB" w:rsidP="002A11BB">
      <w:pPr>
        <w:pStyle w:val="NormalWeb"/>
        <w:jc w:val="center"/>
        <w:rPr>
          <w:rStyle w:val="Fontepargpadro00"/>
          <w:rFonts w:cs="Arial"/>
          <w:b/>
        </w:rPr>
      </w:pPr>
    </w:p>
    <w:p w:rsidR="00160C32" w:rsidRPr="005707A3" w:rsidP="002A11BB">
      <w:pPr>
        <w:pStyle w:val="NormalWeb"/>
        <w:jc w:val="center"/>
      </w:pPr>
      <w:r>
        <w:rPr>
          <w:rStyle w:val="Fontepargpadro00"/>
          <w:rFonts w:cs="Arial"/>
          <w:b/>
        </w:rPr>
        <w:t xml:space="preserve">Sala das Sessões </w:t>
      </w:r>
      <w:r w:rsidR="006A5A66">
        <w:rPr>
          <w:rStyle w:val="Fontepargpadro00"/>
          <w:rFonts w:cs="Arial"/>
          <w:b/>
        </w:rPr>
        <w:t xml:space="preserve">“VEREADOR SANTO RÓTOLLI”, em </w:t>
      </w:r>
      <w:r w:rsidR="00860D0E">
        <w:rPr>
          <w:rStyle w:val="Fontepargpadro00"/>
          <w:rFonts w:cs="Arial"/>
          <w:b/>
        </w:rPr>
        <w:t>05</w:t>
      </w:r>
      <w:r w:rsidR="000C25DE">
        <w:rPr>
          <w:rStyle w:val="Fontepargpadro00"/>
          <w:rFonts w:cs="Arial"/>
          <w:b/>
        </w:rPr>
        <w:t xml:space="preserve"> de dezembro </w:t>
      </w:r>
      <w:r>
        <w:rPr>
          <w:rStyle w:val="Fontepargpadro00"/>
          <w:rFonts w:cs="Arial"/>
          <w:b/>
        </w:rPr>
        <w:t>de 2025.</w:t>
      </w:r>
    </w:p>
    <w:p w:rsidR="002A11BB" w:rsidP="002A11BB">
      <w:pPr>
        <w:suppressAutoHyphens/>
        <w:jc w:val="center"/>
        <w:rPr>
          <w:rStyle w:val="Fontepargpadro00"/>
          <w:b/>
          <w:sz w:val="24"/>
          <w:szCs w:val="24"/>
        </w:rPr>
      </w:pPr>
    </w:p>
    <w:p w:rsidR="002A11BB" w:rsidP="002A11BB">
      <w:pPr>
        <w:suppressAutoHyphens/>
        <w:jc w:val="center"/>
        <w:rPr>
          <w:rStyle w:val="Fontepargpadro00"/>
          <w:b/>
          <w:sz w:val="24"/>
          <w:szCs w:val="24"/>
        </w:rPr>
      </w:pPr>
    </w:p>
    <w:p w:rsidR="002A11BB" w:rsidP="002A11BB">
      <w:pPr>
        <w:suppressAutoHyphens/>
        <w:jc w:val="center"/>
        <w:rPr>
          <w:rStyle w:val="Fontepargpadro00"/>
          <w:b/>
          <w:sz w:val="24"/>
          <w:szCs w:val="24"/>
        </w:rPr>
      </w:pPr>
    </w:p>
    <w:p w:rsidR="00A16401" w:rsidP="002A11BB">
      <w:pPr>
        <w:suppressAutoHyphens/>
        <w:jc w:val="center"/>
        <w:rPr>
          <w:rStyle w:val="Fontepargpadro00"/>
          <w:b/>
          <w:sz w:val="24"/>
          <w:szCs w:val="24"/>
        </w:rPr>
      </w:pPr>
      <w:r>
        <w:rPr>
          <w:rStyle w:val="Fontepargpadro00"/>
          <w:b/>
          <w:sz w:val="24"/>
          <w:szCs w:val="24"/>
        </w:rPr>
        <w:t>ADEMIR SOUZA FLORETTI JUNIOR</w:t>
      </w:r>
    </w:p>
    <w:p w:rsidR="00C7135E" w:rsidRPr="00D22E66" w:rsidP="002A11BB">
      <w:pPr>
        <w:suppressAutoHyphens/>
        <w:jc w:val="center"/>
        <w:rPr>
          <w:b/>
          <w:sz w:val="24"/>
          <w:szCs w:val="24"/>
        </w:rPr>
      </w:pPr>
      <w:bookmarkStart w:id="0" w:name="_GoBack"/>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63500</wp:posOffset>
            </wp:positionV>
            <wp:extent cx="1409700" cy="521335"/>
            <wp:effectExtent l="0" t="0" r="0" b="0"/>
            <wp:wrapNone/>
            <wp:docPr id="4" name="Imagem 4"/>
            <wp:cNvGraphicFramePr/>
            <a:graphic xmlns:a="http://schemas.openxmlformats.org/drawingml/2006/main">
              <a:graphicData uri="http://schemas.openxmlformats.org/drawingml/2006/picture">
                <pic:pic xmlns:pic="http://schemas.openxmlformats.org/drawingml/2006/picture">
                  <pic:nvPicPr>
                    <pic:cNvPr id="931088610" name=""/>
                    <pic:cNvPicPr/>
                  </pic:nvPicPr>
                  <pic:blipFill>
                    <a:blip xmlns:r="http://schemas.openxmlformats.org/officeDocument/2006/relationships" r:embed="rId4"/>
                    <a:stretch>
                      <a:fillRect/>
                    </a:stretch>
                  </pic:blipFill>
                  <pic:spPr>
                    <a:xfrm>
                      <a:off x="0" y="0"/>
                      <a:ext cx="1409700" cy="521335"/>
                    </a:xfrm>
                    <a:prstGeom prst="rect">
                      <a:avLst/>
                    </a:prstGeom>
                    <a:noFill/>
                    <a:ln>
                      <a:noFill/>
                      <a:prstDash val="solid"/>
                    </a:ln>
                  </pic:spPr>
                </pic:pic>
              </a:graphicData>
            </a:graphic>
          </wp:anchor>
        </w:drawing>
      </w:r>
      <w:bookmarkEnd w:id="0"/>
      <w:r w:rsidR="00757C0D">
        <w:rPr>
          <w:rStyle w:val="Fontepargpadro00"/>
          <w:b/>
          <w:sz w:val="24"/>
          <w:szCs w:val="24"/>
        </w:rPr>
        <w:t>VEREADOR</w:t>
      </w:r>
    </w:p>
    <w:p w:rsidR="00D22E66" w:rsidP="002A11BB">
      <w:pPr>
        <w:jc w:val="center"/>
        <w:rPr>
          <w:rFonts w:cs="Arial"/>
          <w:b/>
          <w:noProof/>
          <w:sz w:val="24"/>
          <w:szCs w:val="24"/>
        </w:rPr>
      </w:pPr>
    </w:p>
    <w:p w:rsidR="00D22E66">
      <w:pPr>
        <w:rPr>
          <w:rFonts w:cs="Arial"/>
          <w:b/>
          <w:noProof/>
          <w:sz w:val="24"/>
          <w:szCs w:val="24"/>
        </w:rPr>
      </w:pPr>
    </w:p>
    <w:p w:rsidR="00C7135E">
      <w:pPr>
        <w:rPr>
          <w:rFonts w:cs="Arial"/>
          <w:b/>
          <w:noProof/>
          <w:sz w:val="24"/>
          <w:szCs w:val="24"/>
        </w:rPr>
      </w:pPr>
    </w:p>
    <w:sectPr w:rsidSect="002A11BB">
      <w:headerReference w:type="default" r:id="rId5"/>
      <w:footerReference w:type="default" r:id="rId6"/>
      <w:pgSz w:w="11906" w:h="16838"/>
      <w:pgMar w:top="2268" w:right="1321" w:bottom="709" w:left="1418" w:header="720" w:footer="33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7446">
    <w:pPr>
      <w:pStyle w:val="Footer"/>
      <w:jc w:val="center"/>
    </w:pPr>
    <w:r>
      <w:rPr>
        <w:rStyle w:val="Fontepargpadro00"/>
        <w:sz w:val="18"/>
      </w:rPr>
      <w:t>Rua Dr. José Alves, 129 - Centro - Fone: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7446">
    <w:pPr>
      <w:pStyle w:val="Header"/>
      <w:tabs>
        <w:tab w:val="clear" w:pos="4419"/>
        <w:tab w:val="right" w:pos="7513"/>
        <w:tab w:val="clear" w:pos="8838"/>
      </w:tabs>
      <w:jc w:val="center"/>
    </w:pPr>
    <w:r>
      <w:rPr>
        <w:noProof/>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1"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E17446">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49" type="#_x0000_t202" style="width:0;height:0;margin-top:0.05pt;margin-left:-51.2pt;mso-position-horizontal:right;mso-wrap-distance-bottom:0;mso-wrap-distance-left:9pt;mso-wrap-distance-right:9pt;mso-wrap-distance-top:0;mso-wrap-style:none;position:absolute;visibility:visible;v-text-anchor:top;z-index:251661312" stroked="f">
              <v:fill opacity="0"/>
              <v:textbox style="mso-fit-shape-to-text:t" inset="0,0,0,0">
                <w:txbxContent>
                  <w:p w:rsidR="00E17446">
                    <w:pPr>
                      <w:pStyle w:val="Header"/>
                    </w:pP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E17446">
                          <w:pPr>
                            <w:pStyle w:val="Standard"/>
                            <w:ind w:right="360"/>
                          </w:pPr>
                          <w:r>
                            <w:rPr>
                              <w:noProof/>
                            </w:rPr>
                            <w:drawing>
                              <wp:inline distT="0" distB="0" distL="0" distR="0">
                                <wp:extent cx="1038237" cy="752395"/>
                                <wp:effectExtent l="0" t="0" r="9513" b="0"/>
                                <wp:docPr id="12" name="Imagem 12" descr="brasaomm"/>
                                <wp:cNvGraphicFramePr/>
                                <a:graphic xmlns:a="http://schemas.openxmlformats.org/drawingml/2006/main">
                                  <a:graphicData uri="http://schemas.openxmlformats.org/drawingml/2006/picture">
                                    <pic:pic xmlns:pic="http://schemas.openxmlformats.org/drawingml/2006/picture">
                                      <pic:nvPicPr>
                                        <pic:cNvPr id="892212637"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0"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59264" stroked="f">
              <v:fill opacity="0"/>
              <v:textbox inset="0,0,0,0">
                <w:txbxContent>
                  <w:p w:rsidR="00E17446">
                    <w:pPr>
                      <w:pStyle w:val="Standard"/>
                      <w:ind w:right="360"/>
                    </w:pPr>
                    <w:drawing>
                      <wp:inline distT="0" distB="0" distL="0" distR="0">
                        <wp:extent cx="1038237" cy="752395"/>
                        <wp:effectExtent l="0" t="0" r="9513" b="0"/>
                        <wp:docPr id="2" name="Imagem 8" descr="brasaomm"/>
                        <wp:cNvGraphicFramePr/>
                        <a:graphic xmlns:a="http://schemas.openxmlformats.org/drawingml/2006/main">
                          <a:graphicData uri="http://schemas.openxmlformats.org/drawingml/2006/picture">
                            <pic:pic xmlns:pic="http://schemas.openxmlformats.org/drawingml/2006/picture">
                              <pic:nvPicPr>
                                <pic:cNvPr id="538474727"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p>
                </w:txbxContent>
              </v:textbox>
              <w10:wrap type="square"/>
            </v:shape>
          </w:pict>
        </mc:Fallback>
      </mc:AlternateContent>
    </w:r>
  </w:p>
  <w:p w:rsidR="00E17446">
    <w:pPr>
      <w:pStyle w:val="Header"/>
      <w:tabs>
        <w:tab w:val="clear" w:pos="4419"/>
        <w:tab w:val="right" w:pos="7513"/>
        <w:tab w:val="clear" w:pos="8838"/>
      </w:tabs>
      <w:spacing w:line="276" w:lineRule="auto"/>
      <w:jc w:val="center"/>
    </w:pPr>
    <w:r>
      <w:rPr>
        <w:rStyle w:val="Fontepargpadro00"/>
        <w:rFonts w:ascii="Arial" w:hAnsi="Arial"/>
        <w:b/>
        <w:sz w:val="34"/>
      </w:rPr>
      <w:t>CÂMARA MUNICIPAL DE MOGI MIRIM</w:t>
    </w:r>
  </w:p>
  <w:p w:rsidR="00E17446">
    <w:pPr>
      <w:pStyle w:val="Header"/>
      <w:tabs>
        <w:tab w:val="clear" w:pos="4419"/>
        <w:tab w:val="right" w:pos="7513"/>
        <w:tab w:val="clear" w:pos="8838"/>
      </w:tabs>
      <w:spacing w:line="276" w:lineRule="auto"/>
      <w:jc w:val="center"/>
    </w:pPr>
    <w:r>
      <w:rPr>
        <w:rStyle w:val="Fontepargpadro00"/>
        <w:rFonts w:ascii="Arial" w:hAnsi="Arial"/>
        <w:b/>
        <w:sz w:val="24"/>
      </w:rPr>
      <w:t>Estado de São Paulo</w:t>
    </w:r>
  </w:p>
  <w:p w:rsidR="00E17446">
    <w:pPr>
      <w:pStyle w:val="Header"/>
      <w:tabs>
        <w:tab w:val="clear" w:pos="4419"/>
        <w:tab w:val="right" w:pos="7513"/>
        <w:tab w:val="clear" w:pos="8838"/>
      </w:tabs>
      <w:spacing w:line="276" w:lineRule="auto"/>
      <w:jc w:val="center"/>
    </w:pPr>
    <w:r>
      <w:rPr>
        <w:rStyle w:val="Fontepargpadro00"/>
        <w:rFonts w:ascii="Arial" w:hAnsi="Arial"/>
        <w:b/>
        <w:sz w:val="24"/>
      </w:rPr>
      <w:t>GABINETE DO VEREADOR ADEMIR JUNIOR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C32"/>
    <w:rsid w:val="00013C1B"/>
    <w:rsid w:val="000310FE"/>
    <w:rsid w:val="0003325D"/>
    <w:rsid w:val="00037BBF"/>
    <w:rsid w:val="00046DB0"/>
    <w:rsid w:val="0005006D"/>
    <w:rsid w:val="00054611"/>
    <w:rsid w:val="000644DD"/>
    <w:rsid w:val="00065BE1"/>
    <w:rsid w:val="00071746"/>
    <w:rsid w:val="000C25DE"/>
    <w:rsid w:val="000D1338"/>
    <w:rsid w:val="000E0A22"/>
    <w:rsid w:val="000F0D35"/>
    <w:rsid w:val="000F1F3F"/>
    <w:rsid w:val="000F505D"/>
    <w:rsid w:val="001114B4"/>
    <w:rsid w:val="0011183E"/>
    <w:rsid w:val="0012180B"/>
    <w:rsid w:val="0013203F"/>
    <w:rsid w:val="001348D5"/>
    <w:rsid w:val="00135F27"/>
    <w:rsid w:val="001406C1"/>
    <w:rsid w:val="00160C32"/>
    <w:rsid w:val="00172B38"/>
    <w:rsid w:val="00175EDE"/>
    <w:rsid w:val="001A2B75"/>
    <w:rsid w:val="001C50A8"/>
    <w:rsid w:val="00207F61"/>
    <w:rsid w:val="002114F8"/>
    <w:rsid w:val="00214E72"/>
    <w:rsid w:val="00232328"/>
    <w:rsid w:val="002421E2"/>
    <w:rsid w:val="00252A47"/>
    <w:rsid w:val="00256755"/>
    <w:rsid w:val="002A11BB"/>
    <w:rsid w:val="002A2A48"/>
    <w:rsid w:val="002B571F"/>
    <w:rsid w:val="00303AA3"/>
    <w:rsid w:val="00312718"/>
    <w:rsid w:val="003259F2"/>
    <w:rsid w:val="00334E17"/>
    <w:rsid w:val="00343A52"/>
    <w:rsid w:val="00354EA8"/>
    <w:rsid w:val="0035776B"/>
    <w:rsid w:val="0035778E"/>
    <w:rsid w:val="00364FEA"/>
    <w:rsid w:val="0037352B"/>
    <w:rsid w:val="00386412"/>
    <w:rsid w:val="003959E1"/>
    <w:rsid w:val="003E5E4B"/>
    <w:rsid w:val="003F2155"/>
    <w:rsid w:val="00410D51"/>
    <w:rsid w:val="004160B2"/>
    <w:rsid w:val="00430A40"/>
    <w:rsid w:val="004314EB"/>
    <w:rsid w:val="004572E2"/>
    <w:rsid w:val="0046248C"/>
    <w:rsid w:val="004668ED"/>
    <w:rsid w:val="004856F0"/>
    <w:rsid w:val="00485D5C"/>
    <w:rsid w:val="00495214"/>
    <w:rsid w:val="004B2731"/>
    <w:rsid w:val="004C2F41"/>
    <w:rsid w:val="004E6793"/>
    <w:rsid w:val="0050273D"/>
    <w:rsid w:val="00507232"/>
    <w:rsid w:val="00537ECD"/>
    <w:rsid w:val="00540E29"/>
    <w:rsid w:val="00547712"/>
    <w:rsid w:val="00556E08"/>
    <w:rsid w:val="00567368"/>
    <w:rsid w:val="005707A3"/>
    <w:rsid w:val="00576AE3"/>
    <w:rsid w:val="005A510A"/>
    <w:rsid w:val="005E0F4F"/>
    <w:rsid w:val="005E1AA3"/>
    <w:rsid w:val="005F0E7E"/>
    <w:rsid w:val="005F2428"/>
    <w:rsid w:val="005F4E7D"/>
    <w:rsid w:val="005F588E"/>
    <w:rsid w:val="00611AE5"/>
    <w:rsid w:val="00612B34"/>
    <w:rsid w:val="00613CDD"/>
    <w:rsid w:val="00622E49"/>
    <w:rsid w:val="00643731"/>
    <w:rsid w:val="00651D2D"/>
    <w:rsid w:val="00655469"/>
    <w:rsid w:val="006571EA"/>
    <w:rsid w:val="0066404E"/>
    <w:rsid w:val="00694B76"/>
    <w:rsid w:val="00695016"/>
    <w:rsid w:val="006977BD"/>
    <w:rsid w:val="00697F71"/>
    <w:rsid w:val="006A1861"/>
    <w:rsid w:val="006A5A66"/>
    <w:rsid w:val="006B00DA"/>
    <w:rsid w:val="006D403D"/>
    <w:rsid w:val="006F2CF9"/>
    <w:rsid w:val="006F3ACA"/>
    <w:rsid w:val="0071453E"/>
    <w:rsid w:val="00726AD5"/>
    <w:rsid w:val="007379C1"/>
    <w:rsid w:val="00745E89"/>
    <w:rsid w:val="00747044"/>
    <w:rsid w:val="00757C0D"/>
    <w:rsid w:val="007629DE"/>
    <w:rsid w:val="0077193B"/>
    <w:rsid w:val="007757C6"/>
    <w:rsid w:val="00784446"/>
    <w:rsid w:val="00786FC0"/>
    <w:rsid w:val="007C3A82"/>
    <w:rsid w:val="007C6CDC"/>
    <w:rsid w:val="007D3AD7"/>
    <w:rsid w:val="007D5F1F"/>
    <w:rsid w:val="007E63D7"/>
    <w:rsid w:val="007F0C4C"/>
    <w:rsid w:val="00812510"/>
    <w:rsid w:val="008215A6"/>
    <w:rsid w:val="00821BA3"/>
    <w:rsid w:val="00831EC1"/>
    <w:rsid w:val="0083297C"/>
    <w:rsid w:val="00860D0E"/>
    <w:rsid w:val="0087060E"/>
    <w:rsid w:val="00881A0B"/>
    <w:rsid w:val="008A3719"/>
    <w:rsid w:val="008C2699"/>
    <w:rsid w:val="008D6903"/>
    <w:rsid w:val="008F2352"/>
    <w:rsid w:val="008F7CFD"/>
    <w:rsid w:val="00935568"/>
    <w:rsid w:val="00937143"/>
    <w:rsid w:val="009506F9"/>
    <w:rsid w:val="00955F5B"/>
    <w:rsid w:val="00956CD4"/>
    <w:rsid w:val="0096709F"/>
    <w:rsid w:val="00984B64"/>
    <w:rsid w:val="00984BBC"/>
    <w:rsid w:val="00985EFB"/>
    <w:rsid w:val="0099174D"/>
    <w:rsid w:val="00997183"/>
    <w:rsid w:val="009B3FF5"/>
    <w:rsid w:val="009D3E53"/>
    <w:rsid w:val="009E4801"/>
    <w:rsid w:val="00A00A4C"/>
    <w:rsid w:val="00A029EB"/>
    <w:rsid w:val="00A07D7F"/>
    <w:rsid w:val="00A1009B"/>
    <w:rsid w:val="00A16401"/>
    <w:rsid w:val="00A44C54"/>
    <w:rsid w:val="00A66116"/>
    <w:rsid w:val="00A85289"/>
    <w:rsid w:val="00A85AB9"/>
    <w:rsid w:val="00AA045C"/>
    <w:rsid w:val="00AC2D02"/>
    <w:rsid w:val="00AC5912"/>
    <w:rsid w:val="00AD31E9"/>
    <w:rsid w:val="00AD7B9A"/>
    <w:rsid w:val="00B303FF"/>
    <w:rsid w:val="00B31F8B"/>
    <w:rsid w:val="00B36DF9"/>
    <w:rsid w:val="00B42F2D"/>
    <w:rsid w:val="00B608E3"/>
    <w:rsid w:val="00B716AF"/>
    <w:rsid w:val="00B72F22"/>
    <w:rsid w:val="00B73370"/>
    <w:rsid w:val="00B807BA"/>
    <w:rsid w:val="00B87740"/>
    <w:rsid w:val="00BA301D"/>
    <w:rsid w:val="00BC2C6D"/>
    <w:rsid w:val="00BC6EE7"/>
    <w:rsid w:val="00BC731F"/>
    <w:rsid w:val="00BF0E79"/>
    <w:rsid w:val="00BF4075"/>
    <w:rsid w:val="00C64238"/>
    <w:rsid w:val="00C7135E"/>
    <w:rsid w:val="00C765A1"/>
    <w:rsid w:val="00C855DA"/>
    <w:rsid w:val="00CE6F17"/>
    <w:rsid w:val="00D023ED"/>
    <w:rsid w:val="00D14B0A"/>
    <w:rsid w:val="00D22E66"/>
    <w:rsid w:val="00D23BC7"/>
    <w:rsid w:val="00D9027A"/>
    <w:rsid w:val="00D911D5"/>
    <w:rsid w:val="00DD4189"/>
    <w:rsid w:val="00DD6669"/>
    <w:rsid w:val="00DF0DEF"/>
    <w:rsid w:val="00DF311F"/>
    <w:rsid w:val="00E17446"/>
    <w:rsid w:val="00E2446A"/>
    <w:rsid w:val="00E50D55"/>
    <w:rsid w:val="00E55B7D"/>
    <w:rsid w:val="00EA3801"/>
    <w:rsid w:val="00EA6F16"/>
    <w:rsid w:val="00EA7952"/>
    <w:rsid w:val="00EB3265"/>
    <w:rsid w:val="00EC16B7"/>
    <w:rsid w:val="00ED388C"/>
    <w:rsid w:val="00F27385"/>
    <w:rsid w:val="00F278F9"/>
    <w:rsid w:val="00F27F12"/>
    <w:rsid w:val="00F32F88"/>
    <w:rsid w:val="00F34D20"/>
    <w:rsid w:val="00F4273A"/>
    <w:rsid w:val="00F46368"/>
    <w:rsid w:val="00F940CC"/>
    <w:rsid w:val="00FA2DC5"/>
    <w:rsid w:val="00FB25BA"/>
    <w:rsid w:val="00FC098E"/>
    <w:rsid w:val="00FC2251"/>
    <w:rsid w:val="00FD42E8"/>
    <w:rsid w:val="00FD50E9"/>
    <w:rsid w:val="00FF4FD4"/>
    <w:rsid w:val="00FF777D"/>
    <w:rsid w:val="00FF7CD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B0049EF8-1572-4092-A864-F1FC9B86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0C32"/>
    <w:pPr>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epargpadro00">
    <w:name w:val="Fonteparág.padrão00"/>
    <w:rsid w:val="00160C32"/>
  </w:style>
  <w:style w:type="paragraph" w:customStyle="1" w:styleId="Standard">
    <w:name w:val="Standard"/>
    <w:rsid w:val="00160C32"/>
    <w:pPr>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Header">
    <w:name w:val="header"/>
    <w:basedOn w:val="Standard"/>
    <w:link w:val="CabealhoChar"/>
    <w:rsid w:val="00160C32"/>
    <w:pPr>
      <w:tabs>
        <w:tab w:val="center" w:pos="4419"/>
        <w:tab w:val="right" w:pos="8838"/>
      </w:tabs>
    </w:pPr>
  </w:style>
  <w:style w:type="character" w:customStyle="1" w:styleId="CabealhoChar">
    <w:name w:val="Cabeçalho Char"/>
    <w:basedOn w:val="DefaultParagraphFont"/>
    <w:link w:val="Header"/>
    <w:rsid w:val="00160C32"/>
    <w:rPr>
      <w:rFonts w:ascii="Times New Roman" w:eastAsia="Times New Roman" w:hAnsi="Times New Roman" w:cs="Times New Roman"/>
      <w:kern w:val="3"/>
      <w:sz w:val="20"/>
      <w:szCs w:val="20"/>
      <w:lang w:eastAsia="pt-BR"/>
    </w:rPr>
  </w:style>
  <w:style w:type="paragraph" w:styleId="Footer">
    <w:name w:val="footer"/>
    <w:basedOn w:val="Standard"/>
    <w:link w:val="RodapChar"/>
    <w:rsid w:val="00160C32"/>
    <w:pPr>
      <w:tabs>
        <w:tab w:val="center" w:pos="4419"/>
        <w:tab w:val="right" w:pos="8838"/>
      </w:tabs>
    </w:pPr>
  </w:style>
  <w:style w:type="character" w:customStyle="1" w:styleId="RodapChar">
    <w:name w:val="Rodapé Char"/>
    <w:basedOn w:val="DefaultParagraphFont"/>
    <w:link w:val="Footer"/>
    <w:rsid w:val="00160C32"/>
    <w:rPr>
      <w:rFonts w:ascii="Times New Roman" w:eastAsia="Times New Roman" w:hAnsi="Times New Roman" w:cs="Times New Roman"/>
      <w:kern w:val="3"/>
      <w:sz w:val="20"/>
      <w:szCs w:val="20"/>
      <w:lang w:eastAsia="pt-BR"/>
    </w:rPr>
  </w:style>
  <w:style w:type="paragraph" w:styleId="NormalWeb">
    <w:name w:val="Normal (Web)"/>
    <w:basedOn w:val="Normal"/>
    <w:uiPriority w:val="99"/>
    <w:unhideWhenUsed/>
    <w:rsid w:val="003F2155"/>
    <w:pPr>
      <w:overflowPunct/>
      <w:autoSpaceDN/>
      <w:spacing w:before="100" w:beforeAutospacing="1" w:after="100" w:afterAutospacing="1"/>
      <w:textAlignment w:val="auto"/>
    </w:pPr>
    <w:rPr>
      <w:kern w:val="0"/>
      <w:sz w:val="24"/>
      <w:szCs w:val="24"/>
    </w:rPr>
  </w:style>
  <w:style w:type="character" w:styleId="Strong">
    <w:name w:val="Strong"/>
    <w:basedOn w:val="DefaultParagraphFont"/>
    <w:uiPriority w:val="22"/>
    <w:qFormat/>
    <w:rsid w:val="003F2155"/>
    <w:rPr>
      <w:b/>
      <w:bCs/>
    </w:rPr>
  </w:style>
  <w:style w:type="character" w:styleId="Emphasis">
    <w:name w:val="Emphasis"/>
    <w:basedOn w:val="DefaultParagraphFont"/>
    <w:uiPriority w:val="20"/>
    <w:qFormat/>
    <w:rsid w:val="00A100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2</cp:revision>
  <cp:lastPrinted>2025-12-05T15:00:31Z</cp:lastPrinted>
  <dcterms:created xsi:type="dcterms:W3CDTF">2025-12-05T14:50:00Z</dcterms:created>
  <dcterms:modified xsi:type="dcterms:W3CDTF">2025-12-05T14:50:00Z</dcterms:modified>
</cp:coreProperties>
</file>