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21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>Projeto de Lei Nº 183/2025</w:t>
      </w:r>
      <w:r>
        <w:rPr>
          <w:sz w:val="24"/>
          <w:szCs w:val="24"/>
        </w:rPr>
        <w:t>Projeto de Lei Nº 183/2025</w:t>
      </w:r>
    </w:p>
    <w:p w:rsidR="00AF21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48"/>
        <w:jc w:val="both"/>
        <w:rPr>
          <w:sz w:val="24"/>
          <w:szCs w:val="24"/>
        </w:rPr>
      </w:pPr>
    </w:p>
    <w:p w:rsidR="00AF21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48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DÁ DENOMINAÇÃO OFICIAL À CASA DO ADOLESCENTE DE MOGI MIRIM DE “CASA DO ADOLESCENTE VINÍCIUS GARCIA LINO”</w:t>
      </w:r>
    </w:p>
    <w:p w:rsidR="00AF210F" w:rsidP="001716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AF210F" w:rsidP="001716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AF210F" w:rsidP="001716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CÂMARA MUNICIPAL DE MOGI MIRIM APROVA:</w:t>
      </w:r>
    </w:p>
    <w:p w:rsidR="00AF210F" w:rsidP="001716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AF210F" w:rsidP="001716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AF210F" w:rsidP="001716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 Casa do Adolescente, localizada na Rua Peru, 140, no bairro </w:t>
      </w:r>
      <w:r>
        <w:rPr>
          <w:color w:val="000000"/>
          <w:sz w:val="24"/>
          <w:szCs w:val="24"/>
        </w:rPr>
        <w:t>Sehac</w:t>
      </w:r>
      <w:r>
        <w:rPr>
          <w:color w:val="000000"/>
          <w:sz w:val="24"/>
          <w:szCs w:val="24"/>
        </w:rPr>
        <w:t>, passa a denominar-se</w:t>
      </w:r>
      <w:r>
        <w:rPr>
          <w:b/>
          <w:bCs/>
          <w:color w:val="000000"/>
          <w:sz w:val="24"/>
          <w:szCs w:val="24"/>
        </w:rPr>
        <w:t xml:space="preserve"> “CASA DO ADOLESCENTE VINÍCIUS GARCIA LINO”.</w:t>
      </w:r>
    </w:p>
    <w:p w:rsidR="00AF210F" w:rsidP="001716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AF210F" w:rsidP="001716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AF210F" w:rsidP="001716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</w:t>
      </w:r>
      <w:r>
        <w:rPr>
          <w:color w:val="000000"/>
          <w:sz w:val="24"/>
          <w:szCs w:val="24"/>
        </w:rPr>
        <w:t xml:space="preserve"> Esta lei entra em vigor na data de sua publicação, revogando-se as disposiçõ</w:t>
      </w:r>
      <w:bookmarkStart w:id="0" w:name="_GoBack"/>
      <w:bookmarkEnd w:id="0"/>
      <w:r>
        <w:rPr>
          <w:color w:val="000000"/>
          <w:sz w:val="24"/>
          <w:szCs w:val="24"/>
        </w:rPr>
        <w:t>es em contrário.</w:t>
      </w:r>
    </w:p>
    <w:p w:rsidR="00AF210F" w:rsidP="001716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AF210F" w:rsidP="001716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AF210F">
      <w:pPr>
        <w:spacing w:line="276" w:lineRule="auto"/>
        <w:jc w:val="both"/>
        <w:rPr>
          <w:sz w:val="24"/>
          <w:szCs w:val="24"/>
        </w:rPr>
      </w:pPr>
    </w:p>
    <w:p w:rsidR="00AF210F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 “Vereador Santo </w:t>
      </w:r>
      <w:r>
        <w:rPr>
          <w:sz w:val="24"/>
          <w:szCs w:val="24"/>
        </w:rPr>
        <w:t>Róttoli</w:t>
      </w:r>
      <w:r>
        <w:rPr>
          <w:sz w:val="24"/>
          <w:szCs w:val="24"/>
        </w:rPr>
        <w:t xml:space="preserve">”, em </w:t>
      </w:r>
      <w:r w:rsidR="00354BF3">
        <w:rPr>
          <w:sz w:val="24"/>
          <w:szCs w:val="24"/>
        </w:rPr>
        <w:t>10</w:t>
      </w:r>
      <w:r>
        <w:rPr>
          <w:sz w:val="24"/>
          <w:szCs w:val="24"/>
        </w:rPr>
        <w:t xml:space="preserve"> de dezembro de 2025.</w:t>
      </w:r>
    </w:p>
    <w:p w:rsidR="00AF210F">
      <w:pPr>
        <w:spacing w:line="276" w:lineRule="auto"/>
        <w:jc w:val="center"/>
        <w:rPr>
          <w:sz w:val="24"/>
          <w:szCs w:val="24"/>
        </w:rPr>
      </w:pPr>
    </w:p>
    <w:p w:rsidR="00AF210F">
      <w:pPr>
        <w:spacing w:line="276" w:lineRule="auto"/>
        <w:jc w:val="both"/>
        <w:rPr>
          <w:sz w:val="24"/>
          <w:szCs w:val="24"/>
        </w:rPr>
      </w:pPr>
    </w:p>
    <w:p w:rsidR="00AF210F">
      <w:pPr>
        <w:spacing w:line="276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(Assinado digitalmente)</w:t>
      </w:r>
    </w:p>
    <w:p w:rsidR="00AF210F">
      <w:pPr>
        <w:spacing w:line="276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JOÃO VICTOR GASPARINI</w:t>
      </w:r>
    </w:p>
    <w:p w:rsidR="00AF210F">
      <w:pPr>
        <w:spacing w:line="276" w:lineRule="auto"/>
        <w:jc w:val="center"/>
        <w:rPr>
          <w:sz w:val="24"/>
          <w:szCs w:val="24"/>
        </w:rPr>
      </w:pPr>
    </w:p>
    <w:p w:rsidR="00AF210F">
      <w:pPr>
        <w:spacing w:line="276" w:lineRule="auto"/>
        <w:jc w:val="both"/>
        <w:rPr>
          <w:sz w:val="24"/>
          <w:szCs w:val="24"/>
        </w:rPr>
      </w:pPr>
    </w:p>
    <w:p w:rsidR="00AF210F">
      <w:pPr>
        <w:spacing w:line="276" w:lineRule="auto"/>
        <w:jc w:val="both"/>
        <w:rPr>
          <w:sz w:val="24"/>
          <w:szCs w:val="24"/>
        </w:rPr>
      </w:pPr>
    </w:p>
    <w:p w:rsidR="00AF210F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AF210F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AF210F">
      <w:pPr>
        <w:jc w:val="both"/>
        <w:rPr>
          <w:rFonts w:ascii="Calibri" w:eastAsia="Calibri" w:hAnsi="Calibri" w:cs="Calibri"/>
          <w:sz w:val="24"/>
          <w:szCs w:val="24"/>
        </w:rPr>
      </w:pPr>
    </w:p>
    <w:p w:rsidR="00AF210F">
      <w:pPr>
        <w:jc w:val="both"/>
        <w:rPr>
          <w:rFonts w:ascii="Calibri" w:eastAsia="Calibri" w:hAnsi="Calibri" w:cs="Calibri"/>
          <w:sz w:val="24"/>
          <w:szCs w:val="24"/>
        </w:rPr>
      </w:pPr>
    </w:p>
    <w:p w:rsidR="00AF210F">
      <w:pPr>
        <w:jc w:val="both"/>
        <w:rPr>
          <w:rFonts w:ascii="Calibri" w:eastAsia="Calibri" w:hAnsi="Calibri" w:cs="Calibri"/>
          <w:sz w:val="24"/>
          <w:szCs w:val="24"/>
        </w:rPr>
      </w:pPr>
    </w:p>
    <w:p w:rsidR="00AF210F">
      <w:pPr>
        <w:jc w:val="both"/>
        <w:rPr>
          <w:rFonts w:ascii="Calibri" w:eastAsia="Calibri" w:hAnsi="Calibri" w:cs="Calibri"/>
          <w:sz w:val="24"/>
          <w:szCs w:val="24"/>
        </w:rPr>
      </w:pPr>
    </w:p>
    <w:p w:rsidR="00AF210F">
      <w:pPr>
        <w:jc w:val="both"/>
        <w:rPr>
          <w:rFonts w:ascii="Calibri" w:eastAsia="Calibri" w:hAnsi="Calibri" w:cs="Calibri"/>
          <w:sz w:val="24"/>
          <w:szCs w:val="24"/>
        </w:rPr>
      </w:pPr>
    </w:p>
    <w:p w:rsidR="00AF210F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</w:t>
      </w:r>
    </w:p>
    <w:p w:rsidR="00AF210F">
      <w:pPr>
        <w:spacing w:line="360" w:lineRule="auto"/>
        <w:jc w:val="center"/>
        <w:rPr>
          <w:sz w:val="24"/>
          <w:szCs w:val="24"/>
        </w:rPr>
      </w:pPr>
      <w:r>
        <w:br w:type="page"/>
      </w:r>
      <w:r>
        <w:rPr>
          <w:b/>
          <w:bCs/>
          <w:sz w:val="24"/>
          <w:szCs w:val="24"/>
        </w:rPr>
        <w:t>JUSTIFICATIVA</w:t>
      </w:r>
    </w:p>
    <w:p w:rsidR="00AF210F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O presente Projeto de Lei tem por objetivo denominar o prédio da Casa do Adolescente com o nome de </w:t>
      </w:r>
      <w:r>
        <w:rPr>
          <w:b/>
          <w:bCs/>
          <w:color w:val="000000"/>
          <w:sz w:val="24"/>
          <w:szCs w:val="24"/>
        </w:rPr>
        <w:t>CASA DO ADOLESCENTE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VINÍCIUS GARCIA LINO</w:t>
      </w:r>
      <w:r>
        <w:rPr>
          <w:color w:val="000000"/>
          <w:sz w:val="24"/>
          <w:szCs w:val="24"/>
        </w:rPr>
        <w:t xml:space="preserve">, adolescente </w:t>
      </w:r>
      <w:r>
        <w:rPr>
          <w:color w:val="000000"/>
          <w:sz w:val="24"/>
          <w:szCs w:val="24"/>
        </w:rPr>
        <w:t>mogimiriano</w:t>
      </w:r>
      <w:r>
        <w:rPr>
          <w:color w:val="000000"/>
          <w:sz w:val="24"/>
          <w:szCs w:val="24"/>
        </w:rPr>
        <w:t xml:space="preserve"> cuja trajetória de vida, ainda que interrompida precocemente, é reconhecida por sua família, por sua comunidade e por todos que com ele conviveram como exemplo de solidariedade, gentileza e convivência comunitária.</w:t>
      </w:r>
    </w:p>
    <w:p w:rsidR="00AF210F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Conforme relato encaminhado por sua mãe, Sra. Josiane Lino, Vinícius nasceu em junho de 2002 e desenvolveu, desde cedo, características marcantes de empatia, inteligência, curiosidade e respeito ao próximo. Era um adolescente participativo, prestativo e atento às necessidades das pessoas ao seu redor. Sua relação com a família, sua dedicação aos estudos, seu gosto por leitura, esportes, natureza e atividades coletivas evidenciam um perfil de adolescente ativo e integrado à vida comunitária.</w:t>
      </w:r>
    </w:p>
    <w:p w:rsidR="00AF210F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Em 2016, aos 13 anos, Vinícius enfrentou um quadro súbito e grave de saúde, que evoluiu rapidamente, e que apesar dos esforços médicos, levou ao seu falecimento. Sua memória, entretanto, permanece viva e significativa para sua família e para diversas pessoas que acompanharam sua história, sendo frequentemente mencionada como fonte de inspiração pela forma afetiva e solidária com que o adolescente se relacionava com todos ao seu redor.</w:t>
      </w:r>
    </w:p>
    <w:p w:rsidR="00AF210F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A atribuição do nome de Vinícius Garcia Lino à Casa do Adolescente encontra respaldo na missão institucional do equipamento público, cujo objetivo central é </w:t>
      </w:r>
      <w:r>
        <w:rPr>
          <w:b/>
          <w:bCs/>
          <w:color w:val="000000"/>
          <w:sz w:val="24"/>
          <w:szCs w:val="24"/>
        </w:rPr>
        <w:t>promover, proteger e garantir os direitos fundamentais de adolescentes</w:t>
      </w:r>
      <w:r>
        <w:rPr>
          <w:color w:val="000000"/>
          <w:sz w:val="24"/>
          <w:szCs w:val="24"/>
        </w:rPr>
        <w:t xml:space="preserve">, em consonância com o disposto no </w:t>
      </w:r>
      <w:r>
        <w:rPr>
          <w:b/>
          <w:bCs/>
          <w:color w:val="000000"/>
          <w:sz w:val="24"/>
          <w:szCs w:val="24"/>
        </w:rPr>
        <w:t>artigo 227 da Constituição Federal</w:t>
      </w:r>
      <w:r>
        <w:rPr>
          <w:color w:val="000000"/>
          <w:sz w:val="24"/>
          <w:szCs w:val="24"/>
        </w:rPr>
        <w:t xml:space="preserve">, que estabelece ser dever da família, da sociedade e do Estado </w:t>
      </w:r>
      <w:r>
        <w:rPr>
          <w:color w:val="000000"/>
          <w:sz w:val="24"/>
          <w:szCs w:val="24"/>
        </w:rPr>
        <w:t>assegurar</w:t>
      </w:r>
      <w:r>
        <w:rPr>
          <w:color w:val="000000"/>
          <w:sz w:val="24"/>
          <w:szCs w:val="24"/>
        </w:rPr>
        <w:t>, com absoluta prioridade, os direitos à vida, à saúde, à educação, à convivência familiar e comunitária, ao respeito, à dignidade e à proteção integral. A denominação proposta materializa simbolicamente esse compromisso, ao vincular a identidade do equipamento à memória de um adolescente que representa, pela sua trajetória e valores, o público ao qual a instituição se destina.</w:t>
      </w:r>
    </w:p>
    <w:p w:rsidR="00AF210F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Do ponto de vista administrativo e funcional, a denominação contribui para reforçar o caráter protetivo e socioeducativo da Casa do Adolescente, valorizando a centralidade do sujeito adolescente na formulação e execução das políticas públicas municipais voltadas a essa faixa </w:t>
      </w:r>
      <w:r>
        <w:rPr>
          <w:color w:val="000000"/>
          <w:sz w:val="24"/>
          <w:szCs w:val="24"/>
        </w:rPr>
        <w:t>etária. Ao homenagear um adolescente que vivenciou plenamente valores de solidariedade, convivência e participação social, o Município reafirma o compromisso de que a proteção integral estabelecida pela Constituição Federal e pelo Estatuto da Criança e do Adolescente deve orientar permanentemente a atuação estatal.</w:t>
      </w:r>
    </w:p>
    <w:p w:rsidR="00AF210F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Diante do exposto, a denominação do prédio da Casa do Adolescente como </w:t>
      </w:r>
      <w:r>
        <w:rPr>
          <w:b/>
          <w:bCs/>
          <w:color w:val="000000"/>
          <w:sz w:val="24"/>
          <w:szCs w:val="24"/>
        </w:rPr>
        <w:t>“Casa do Adolescente Vinícius Garcia Lino”</w:t>
      </w:r>
      <w:r>
        <w:rPr>
          <w:color w:val="000000"/>
          <w:sz w:val="24"/>
          <w:szCs w:val="24"/>
        </w:rPr>
        <w:t xml:space="preserve"> revela-se medida adequada, pertinente e alinhada às diretrizes legais e institucionais que regem as políticas públicas de atendimento à adolescência, razão pela qual se solicita o encaminhamento deste pedido para os trâmites técnicos e administrativos necessários à sua formalização.</w:t>
      </w:r>
    </w:p>
    <w:p w:rsidR="00AF210F">
      <w:pPr>
        <w:jc w:val="center"/>
        <w:rPr>
          <w:sz w:val="24"/>
          <w:szCs w:val="24"/>
        </w:rPr>
      </w:pPr>
    </w:p>
    <w:p w:rsidR="00AF210F">
      <w:pPr>
        <w:jc w:val="center"/>
        <w:rPr>
          <w:sz w:val="24"/>
          <w:szCs w:val="24"/>
        </w:rPr>
      </w:pPr>
    </w:p>
    <w:p w:rsidR="00AF210F">
      <w:pPr>
        <w:jc w:val="center"/>
        <w:rPr>
          <w:sz w:val="24"/>
          <w:szCs w:val="24"/>
        </w:rPr>
      </w:pPr>
      <w:r>
        <w:rPr>
          <w:sz w:val="24"/>
          <w:szCs w:val="24"/>
        </w:rPr>
        <w:t>Imagem 1 – Vinícius Garcia Lino aos 11 anos de idade</w:t>
      </w:r>
    </w:p>
    <w:p w:rsidR="00AF210F">
      <w:pPr>
        <w:ind w:firstLine="708"/>
        <w:jc w:val="center"/>
      </w:pPr>
    </w:p>
    <w:p w:rsidR="00AF210F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114300" distR="114300">
            <wp:extent cx="3027680" cy="3764280"/>
            <wp:effectExtent l="0" t="0" r="0" b="0"/>
            <wp:docPr id="10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1530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10F">
      <w:pPr>
        <w:ind w:firstLine="2267"/>
      </w:pPr>
      <w:r>
        <w:t xml:space="preserve">Fonte: foto cedida pela mãe Josiane Lino </w:t>
      </w:r>
    </w:p>
    <w:p w:rsidR="00AF210F">
      <w:pPr>
        <w:ind w:firstLine="2552"/>
      </w:pPr>
    </w:p>
    <w:p w:rsidR="00AF210F">
      <w:pPr>
        <w:ind w:firstLine="2552"/>
      </w:pPr>
    </w:p>
    <w:p w:rsidR="00AF210F">
      <w:pPr>
        <w:ind w:firstLine="2552"/>
      </w:pPr>
    </w:p>
    <w:p w:rsidR="00AF210F">
      <w:pPr>
        <w:ind w:firstLine="2552"/>
      </w:pPr>
    </w:p>
    <w:p w:rsidR="00AF210F">
      <w:pPr>
        <w:ind w:firstLine="2552"/>
      </w:pPr>
    </w:p>
    <w:p w:rsidR="00AF210F">
      <w:pPr>
        <w:ind w:firstLine="2552"/>
      </w:pPr>
    </w:p>
    <w:p w:rsidR="00AF210F">
      <w:pPr>
        <w:ind w:firstLine="2552"/>
      </w:pPr>
    </w:p>
    <w:p w:rsidR="00AF210F">
      <w:pPr>
        <w:ind w:firstLine="2552"/>
      </w:pPr>
    </w:p>
    <w:p w:rsidR="00AF210F">
      <w:pPr>
        <w:spacing w:line="360" w:lineRule="auto"/>
        <w:jc w:val="both"/>
        <w:rPr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REFERÊNCIAS</w:t>
      </w:r>
    </w:p>
    <w:p w:rsidR="00AF210F">
      <w:pPr>
        <w:jc w:val="both"/>
      </w:pPr>
      <w:r>
        <w:rPr>
          <w:sz w:val="24"/>
          <w:szCs w:val="24"/>
        </w:rPr>
        <w:t>BRASIL. Constituição (1988). Constituição da República Federativa do Brasil. Brasília, DF: Senado Federal, 1988.</w:t>
      </w:r>
    </w:p>
    <w:sectPr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7DAB150-3F6E-4C93-AB85-6D81ED4AE423}"/>
    <w:embedBoldItalic r:id="rId2" w:fontKey="{6478AC94-A30A-4620-9F8E-BFA7D92ECA67}"/>
  </w:font>
  <w:font w:name="Verdana">
    <w:panose1 w:val="020B0604030504040204"/>
    <w:charset w:val="00"/>
    <w:family w:val="roman"/>
    <w:notTrueType/>
    <w:pitch w:val="default"/>
    <w:embedRegular r:id="rId3" w:fontKey="{0EA030ED-4489-496A-997C-3174E6A741F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  <w:embedRegular r:id="rId4" w:fontKey="{DD99914C-DBC2-4FFE-AE3B-82F4E1390AE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61ED3253-5792-482A-BE81-C27193EFBAA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EE2C0A5-5D90-4E79-AF48-AF9502E63B18}"/>
    <w:embedBold r:id="rId7" w:fontKey="{C2896CD7-5676-47DA-A53F-8AC8897011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21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21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color w:val="000000"/>
      </w:rPr>
    </w:pPr>
    <w:r>
      <w:rPr>
        <w:rFonts w:ascii="Arial" w:eastAsia="Arial" w:hAnsi="Arial" w:cs="Arial"/>
        <w:b/>
        <w:bCs/>
        <w:color w:val="000000"/>
        <w:sz w:val="34"/>
        <w:szCs w:val="34"/>
      </w:rPr>
      <w:t xml:space="preserve">         </w:t>
    </w:r>
    <w:r>
      <w:rPr>
        <w:b/>
        <w:bCs/>
        <w:color w:val="000000"/>
        <w:sz w:val="34"/>
        <w:szCs w:val="34"/>
      </w:rPr>
      <w:t xml:space="preserve">        CÂMARA MUNICIPAL DE MOGI MIRIM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</wp:posOffset>
          </wp:positionH>
          <wp:positionV relativeFrom="paragraph">
            <wp:posOffset>-190499</wp:posOffset>
          </wp:positionV>
          <wp:extent cx="1341380" cy="942975"/>
          <wp:effectExtent l="0" t="0" r="0" b="0"/>
          <wp:wrapNone/>
          <wp:docPr id="10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6858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F21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color w:val="000000"/>
      </w:rPr>
    </w:pPr>
    <w:r>
      <w:rPr>
        <w:b/>
        <w:bCs/>
        <w:color w:val="000000"/>
        <w:sz w:val="24"/>
        <w:szCs w:val="24"/>
      </w:rPr>
      <w:t xml:space="preserve">                  Estado de São Paulo</w:t>
    </w:r>
  </w:p>
  <w:p w:rsidR="00AF21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  <w:sz w:val="24"/>
        <w:szCs w:val="24"/>
      </w:rPr>
    </w:pPr>
  </w:p>
  <w:p w:rsidR="00AF21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CE5E04"/>
    <w:multiLevelType w:val="multilevel"/>
    <w:tmpl w:val="38544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0F"/>
    <w:rsid w:val="0017169E"/>
    <w:rsid w:val="00354BF3"/>
    <w:rsid w:val="004A648D"/>
    <w:rsid w:val="007B3A5D"/>
    <w:rsid w:val="00AF210F"/>
    <w:rsid w:val="00B400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D1EE0EC-FEDC-4362-BA5C-D11A2A60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numPr>
        <w:ilvl w:val="1"/>
        <w:numId w:val="1"/>
      </w:numPr>
      <w:spacing w:before="240" w:after="60" w:line="1" w:lineRule="atLeast"/>
      <w:ind w:left="-1" w:hanging="1" w:leftChars="-1" w:hangingChars="1"/>
      <w:textDirection w:val="btLr"/>
      <w:textAlignment w:val="top"/>
      <w:outlineLvl w:val="1"/>
    </w:pPr>
    <w:rPr>
      <w:rFonts w:ascii="Cambria" w:hAnsi="Cambria"/>
      <w:b/>
      <w:bCs/>
      <w:i/>
      <w:iCs/>
      <w:position w:val="-1"/>
      <w:sz w:val="28"/>
      <w:szCs w:val="28"/>
      <w:lang w:eastAsia="zh-CN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paragraph" w:styleId="Heading7">
    <w:name w:val="heading 7"/>
    <w:basedOn w:val="Normal"/>
    <w:next w:val="Normal"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spacing w:line="1" w:lineRule="atLeast"/>
      <w:ind w:left="-1" w:hanging="1" w:leftChars="-1" w:hangingChars="1"/>
      <w:jc w:val="center"/>
      <w:textDirection w:val="btLr"/>
      <w:textAlignment w:val="top"/>
      <w:outlineLvl w:val="6"/>
    </w:pPr>
    <w:rPr>
      <w:b/>
      <w:bCs/>
      <w:position w:val="-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</w:rPr>
  </w:style>
  <w:style w:type="character" w:styleId="PageNumber">
    <w:name w:val="page number"/>
    <w:basedOn w:val="Fontepargpadro1"/>
    <w:rPr>
      <w:w w:val="100"/>
      <w:position w:val="-1"/>
      <w:effect w:val="none"/>
      <w:vertAlign w:val="baseline"/>
      <w:cs w:val="0"/>
    </w:rPr>
  </w:style>
  <w:style w:type="character" w:customStyle="1" w:styleId="Ttulo7Char">
    <w:name w:val="Título 7 Char"/>
    <w:rPr>
      <w:b/>
      <w:bCs/>
      <w:w w:val="100"/>
      <w:position w:val="-1"/>
      <w:sz w:val="24"/>
      <w:szCs w:val="24"/>
      <w:effect w:val="none"/>
      <w:vertAlign w:val="baseline"/>
      <w:cs w:val="0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</w:rPr>
  </w:style>
  <w:style w:type="character" w:customStyle="1" w:styleId="CorpodetextoChar">
    <w:name w:val="Corpo de texto Char"/>
    <w:rPr>
      <w:b/>
      <w:w w:val="100"/>
      <w:position w:val="-1"/>
      <w:sz w:val="24"/>
      <w:effect w:val="none"/>
      <w:vertAlign w:val="baseline"/>
      <w:cs w:val="0"/>
    </w:rPr>
  </w:style>
  <w:style w:type="character" w:customStyle="1" w:styleId="style11">
    <w:name w:val="style11"/>
    <w:rPr>
      <w:rFonts w:ascii="Verdana" w:hAnsi="Verdana" w:cs="Verdana" w:hint="default"/>
      <w:b w:val="0"/>
      <w:bCs w:val="0"/>
      <w:color w:val="000000"/>
      <w:w w:val="100"/>
      <w:position w:val="-1"/>
      <w:sz w:val="15"/>
      <w:szCs w:val="15"/>
      <w:effect w:val="none"/>
      <w:vertAlign w:val="baseline"/>
      <w:cs w:val="0"/>
    </w:rPr>
  </w:style>
  <w:style w:type="character" w:customStyle="1" w:styleId="style51">
    <w:name w:val="style51"/>
    <w:rPr>
      <w:rFonts w:ascii="Verdana" w:hAnsi="Verdana" w:cs="Verdana" w:hint="default"/>
      <w:b/>
      <w:bCs/>
      <w:color w:val="000000"/>
      <w:w w:val="100"/>
      <w:position w:val="-1"/>
      <w:sz w:val="15"/>
      <w:szCs w:val="15"/>
      <w:effect w:val="none"/>
      <w:vertAlign w:val="baseline"/>
      <w:cs w:val="0"/>
    </w:rPr>
  </w:style>
  <w:style w:type="character" w:customStyle="1" w:styleId="TextosemFormataoChar">
    <w:name w:val="Texto sem Formatação Char"/>
    <w:rPr>
      <w:rFonts w:ascii="Courier New" w:hAnsi="Courier New" w:cs="Courier New"/>
      <w:w w:val="100"/>
      <w:position w:val="-1"/>
      <w:effect w:val="none"/>
      <w:vertAlign w:val="baseline"/>
      <w:cs w:val="0"/>
    </w:rPr>
  </w:style>
  <w:style w:type="paragraph" w:customStyle="1" w:styleId="Ttulo1">
    <w:name w:val="Título1"/>
    <w:basedOn w:val="Normal"/>
    <w:next w:val="BodyText"/>
    <w:pPr>
      <w:keepNext/>
      <w:spacing w:before="240" w:after="120" w:line="1" w:lineRule="atLeast"/>
      <w:ind w:left="-1" w:hanging="1" w:leftChars="-1" w:hangingChars="1"/>
      <w:textDirection w:val="btLr"/>
      <w:textAlignment w:val="top"/>
      <w:outlineLvl w:val="0"/>
    </w:pPr>
    <w:rPr>
      <w:rFonts w:ascii="Liberation Sans" w:eastAsia="Microsoft YaHei" w:hAnsi="Liberation Sans" w:cs="Lucida Sans"/>
      <w:position w:val="-1"/>
      <w:sz w:val="28"/>
      <w:szCs w:val="28"/>
      <w:lang w:eastAsia="zh-CN"/>
    </w:rPr>
  </w:style>
  <w:style w:type="paragraph" w:styleId="BodyText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line="1" w:lineRule="atLeast"/>
      <w:ind w:left="-1" w:hanging="1" w:leftChars="-1" w:hangingChars="1"/>
      <w:jc w:val="both"/>
      <w:textDirection w:val="btLr"/>
      <w:textAlignment w:val="top"/>
      <w:outlineLvl w:val="0"/>
    </w:pPr>
    <w:rPr>
      <w:b/>
      <w:position w:val="-1"/>
      <w:sz w:val="24"/>
      <w:lang w:eastAsia="zh-CN"/>
    </w:r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 w:line="1" w:lineRule="atLeast"/>
      <w:ind w:left="-1" w:hanging="1" w:leftChars="-1" w:hangingChars="1"/>
      <w:textDirection w:val="btLr"/>
      <w:textAlignment w:val="top"/>
      <w:outlineLvl w:val="0"/>
    </w:pPr>
    <w:rPr>
      <w:i/>
      <w:iCs/>
      <w:position w:val="-1"/>
      <w:sz w:val="24"/>
      <w:szCs w:val="24"/>
      <w:lang w:eastAsia="zh-CN"/>
    </w:rPr>
  </w:style>
  <w:style w:type="paragraph" w:customStyle="1" w:styleId="ndice">
    <w:name w:val="Índice"/>
    <w:basedOn w:val="Normal"/>
    <w:pPr>
      <w:suppressLineNumber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TextosemFormatao1">
    <w:name w:val="Texto sem Formatação1"/>
    <w:basedOn w:val="Normal"/>
    <w:pPr>
      <w:spacing w:line="1" w:lineRule="atLeast"/>
      <w:ind w:left="-1" w:hanging="1" w:leftChars="-1" w:hangingChars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Header">
    <w:name w:val="header"/>
    <w:basedOn w:val="Normal"/>
    <w:pPr>
      <w:tabs>
        <w:tab w:val="center" w:pos="4419"/>
        <w:tab w:val="right" w:pos="8838"/>
      </w:tabs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Footer">
    <w:name w:val="footer"/>
    <w:basedOn w:val="Normal"/>
    <w:pPr>
      <w:tabs>
        <w:tab w:val="center" w:pos="4419"/>
        <w:tab w:val="right" w:pos="8838"/>
      </w:tabs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NoSpacing">
    <w:name w:val="No Spacing"/>
    <w:pPr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Contedodoquadro">
    <w:name w:val="Conteúdo do quadro"/>
    <w:basedOn w:val="Normal"/>
    <w:pPr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0SCYhiFYL4gVGhhhdVFbRnIw1Q==">CgMxLjA4AHIhMWxvMG80ejdKcU9UUDhyTWhFbVF5MjViUGo2LTRqb01h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605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5</cp:revision>
  <cp:lastPrinted>2025-12-10T13:21:53Z</cp:lastPrinted>
  <dcterms:created xsi:type="dcterms:W3CDTF">2025-06-27T19:25:00Z</dcterms:created>
  <dcterms:modified xsi:type="dcterms:W3CDTF">2025-12-10T13:21:00Z</dcterms:modified>
</cp:coreProperties>
</file>