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042B" w:rsidP="006D782E">
      <w:pPr>
        <w:pStyle w:val="BodyText"/>
        <w:spacing w:after="0"/>
        <w:contextualSpacing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Relatório</w:t>
      </w:r>
    </w:p>
    <w:p w:rsidR="008615FD" w:rsidRPr="0095042B" w:rsidP="006D782E">
      <w:pPr>
        <w:pStyle w:val="BodyText"/>
        <w:spacing w:after="0"/>
        <w:contextualSpacing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Processo nº </w:t>
      </w:r>
      <w:r w:rsidRPr="0095042B" w:rsidR="00B637FF">
        <w:rPr>
          <w:rFonts w:asciiTheme="minorHAnsi" w:hAnsiTheme="minorHAnsi" w:cstheme="minorHAnsi"/>
          <w:b/>
          <w:color w:val="000000"/>
          <w:sz w:val="24"/>
          <w:szCs w:val="24"/>
        </w:rPr>
        <w:t>257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/2025</w:t>
      </w:r>
    </w:p>
    <w:p w:rsidR="000F45EA" w:rsidRPr="0095042B" w:rsidP="006D782E">
      <w:pPr>
        <w:pStyle w:val="BodyText"/>
        <w:spacing w:before="240"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PARECER </w:t>
      </w:r>
      <w:r w:rsidRPr="0095042B" w:rsidR="006D78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CONJUNTO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DA</w:t>
      </w:r>
      <w:r w:rsidRPr="0095042B" w:rsidR="00FA0F4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COMISSÃO DE JUSTIÇA E REDAÇÃO</w:t>
      </w:r>
      <w:r w:rsidRPr="0095042B" w:rsidR="006D78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 COMISSÃO DE FINANÇAS E ORÇAMENTO</w:t>
      </w:r>
      <w:r w:rsidRPr="0095042B" w:rsidR="00FA0F4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REFERENTE AO PROJETO DE DECRETO </w:t>
      </w:r>
      <w:r w:rsidRPr="0095042B" w:rsidR="00D4265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     </w:t>
      </w:r>
      <w:r w:rsidRPr="0095042B" w:rsidR="00FA0F4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LEGISLATIVO Nº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38 DE 2025 DE AUTORIA DO </w:t>
      </w:r>
      <w:r w:rsidRPr="0095042B" w:rsidR="00D4265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VEREADOR LUIZ FERNANDO SAVIANO.</w:t>
      </w:r>
    </w:p>
    <w:p w:rsidR="000F45EA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Trata-se de Projeto de Decreto Legislativo proposto pelo Exmo. Sr. Vereador </w:t>
      </w:r>
      <w:r w:rsidRPr="0095042B" w:rsidR="006D782E">
        <w:rPr>
          <w:rFonts w:asciiTheme="minorHAnsi" w:hAnsiTheme="minorHAnsi" w:cstheme="minorHAnsi"/>
          <w:color w:val="000000"/>
          <w:sz w:val="24"/>
          <w:szCs w:val="24"/>
        </w:rPr>
        <w:t>Luiz</w:t>
      </w:r>
      <w:r w:rsidRPr="0095042B" w:rsidR="00D4265F">
        <w:rPr>
          <w:rFonts w:asciiTheme="minorHAnsi" w:hAnsiTheme="minorHAnsi" w:cstheme="minorHAnsi"/>
          <w:color w:val="000000"/>
          <w:sz w:val="24"/>
          <w:szCs w:val="24"/>
        </w:rPr>
        <w:t xml:space="preserve">         Fer</w:t>
      </w:r>
      <w:r w:rsidRPr="0095042B" w:rsidR="006D782E">
        <w:rPr>
          <w:rFonts w:asciiTheme="minorHAnsi" w:hAnsiTheme="minorHAnsi" w:cstheme="minorHAnsi"/>
          <w:color w:val="000000"/>
          <w:sz w:val="24"/>
          <w:szCs w:val="24"/>
        </w:rPr>
        <w:t xml:space="preserve">nando </w:t>
      </w:r>
      <w:r w:rsidRPr="0095042B" w:rsidR="006D782E">
        <w:rPr>
          <w:rFonts w:asciiTheme="minorHAnsi" w:hAnsiTheme="minorHAnsi" w:cstheme="minorHAnsi"/>
          <w:color w:val="000000"/>
          <w:sz w:val="24"/>
          <w:szCs w:val="24"/>
        </w:rPr>
        <w:t>Saviano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, através do qual busca conceder ao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Senhor </w:t>
      </w:r>
      <w:r w:rsidRPr="0095042B" w:rsidR="008A3BCE">
        <w:rPr>
          <w:rFonts w:asciiTheme="minorHAnsi" w:hAnsiTheme="minorHAnsi" w:cstheme="minorHAnsi"/>
          <w:b/>
          <w:color w:val="000000"/>
          <w:sz w:val="24"/>
          <w:szCs w:val="24"/>
        </w:rPr>
        <w:t>Davi José dos Santos “Davi do Boca de Barro”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, o Título de Cidadão</w:t>
      </w:r>
      <w:r w:rsidR="0095042B">
        <w:rPr>
          <w:rFonts w:asciiTheme="minorHAnsi" w:hAnsiTheme="minorHAnsi" w:cstheme="minorHAnsi"/>
          <w:color w:val="000000"/>
          <w:sz w:val="24"/>
          <w:szCs w:val="24"/>
        </w:rPr>
        <w:t xml:space="preserve"> Mogimiriano, com uma emenda modificativa para correção do nome do homenageado.</w:t>
      </w:r>
    </w:p>
    <w:p w:rsidR="00EC54AD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Referida honraria busca reconhecer pessoas que tenham prestado relevantes serviços ao Município ou tenham nele se destacado pela atuação exemplar na vida pública e particular. Conforme nos ensina Isaac newton Carneiro:</w:t>
      </w:r>
    </w:p>
    <w:p w:rsidR="00EC54AD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“Os títulos honoríficos ou honrarias são homenage</w:t>
      </w:r>
      <w:r w:rsidRPr="0095042B" w:rsidR="006D782E">
        <w:rPr>
          <w:rFonts w:asciiTheme="minorHAnsi" w:hAnsiTheme="minorHAnsi" w:cstheme="minorHAnsi"/>
          <w:i/>
          <w:color w:val="000000"/>
          <w:sz w:val="24"/>
          <w:szCs w:val="24"/>
        </w:rPr>
        <w:t>ns que usualmente parlamentos</w:t>
      </w:r>
      <w:r w:rsidRPr="0095042B" w:rsidR="007341A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</w:t>
      </w:r>
      <w:r w:rsidRPr="0095042B" w:rsidR="006D782E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fa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zem, através de um procedimento colegiado, com objetivo de publicamente tornar uma pessoa, uma data, um local ou fato histórico memorável. O conceito de honraria está ligado à ideia de designação de honra de destaque, de valor moral elevado em relação ao conjunto da sociedade”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(cf. in Manual de Direito Municipal Brasileiro, P &amp; A Editora, Salvador, 2016, p. 576) (grifo nosso).</w:t>
      </w:r>
    </w:p>
    <w:p w:rsidR="00D73B1A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Já Plácido e silva explica que o vocabulário é: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“ Derivado o latim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honorarius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, do honor, originalmente quer significar tudo que é feito ou dado por honra, assim, sem qualquer ideia pecuniária. É o que é dado gratuitamente, a título honorífico, com honras, mas sem</w:t>
      </w:r>
      <w:r w:rsidRPr="0095042B" w:rsidR="007341A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emolumentos ou pensão”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(cf. in Vocabulário Jurídico, 27ª edição, Forense, Ria de janeiro, 2008, p. 688).</w:t>
      </w:r>
    </w:p>
    <w:p w:rsidR="00D73B1A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Nesta toada, destaca-se o notório interesse local exigido para que a propositura tenha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iniciativa municipal, conforme determina o artigo 30, inciso I da Constituição Federal e artigo 27 da Lei Orgânica do Município.</w:t>
      </w:r>
    </w:p>
    <w:p w:rsidR="00D73B1A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Já no tocante à iniciativa, conforme o artigo 32, inciso XVII da Lei Orgânica, a concessão do Título de Cidadão Mogimiriano é de competência privativa da Câmara Municipal. Neste mesmo sentido, o artigo 1º, § 2º da lei Complementar nº 69 de 08 de abril de 1998 prevê que somente o Poder Legislativo poderá conceder o Título de Cidadão Mogimiriano.</w:t>
      </w:r>
    </w:p>
    <w:p w:rsidR="00D73B1A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Portanto, e uma vez tendo sido apresentado a proposta por Vereador, não se vislumbra, vício de iniciativa na medida.</w:t>
      </w:r>
    </w:p>
    <w:p w:rsidR="00982904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No que tange à formalidade, denota-se que o artigo 144, § 1º, inciso IV da Resolução nº 279/2010, prevê que a concessão de Título de Cidadão Mogimiriano constitui matéria de projeto de decreto legislativo.</w:t>
      </w:r>
    </w:p>
    <w:p w:rsidR="00982904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Nesse sentido é a lição de Hely Lopes Meirelles: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</w:t>
      </w:r>
      <w:r w:rsidRPr="0095042B" w:rsidR="00D87740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“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Decreto  Legislativo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é  deliberação  do  plenário  sobre                                                                                                                                                                                             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matéria  de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exclusiva competência e apreciação político-      </w:t>
      </w:r>
    </w:p>
    <w:p w:rsidR="007341A9" w:rsidRPr="0095042B" w:rsidP="007341A9">
      <w:pPr>
        <w:pStyle w:val="BodyText"/>
        <w:spacing w:after="0" w:line="240" w:lineRule="auto"/>
        <w:ind w:left="-57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administrativa,  promulgada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pelo  presidente  da  mesa,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para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operar seus principais efeitos fora da Câmara. Por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isso  se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diz que o decreto legislativo é de efeitos externo,     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e  a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resolução  de efeitos  internos,  ambos  dispensando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sansão  do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Executivo, mas  sujeito, no mais, ao processo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>legislativo  comum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da lei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[...].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Daí  por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que  só  deve  ser 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utilizado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para consubstanciar as deliberações do plenário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so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bre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assuntos de interesse geral do Município, mas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dependen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tes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do pronunciamento político do Legislativo, ainda que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so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-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bre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matéria de administração do Executivo, ou concernentes a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seus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dirigentes. Nessa conformidade, o decreto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legislativo  é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próprio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para a aprovação de convênios e consórcio;  fixação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da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remuneração do prefeito; cassação de mandatos; aprova-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ção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de contas; concessão de títulos honoríficos e demais deli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berações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do plenário sobre atos provindos do Executivos ou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proposições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de  repercussão externa e de interesse geral do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>município</w:t>
      </w: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” </w:t>
      </w:r>
      <w:r w:rsidRPr="0095042B">
        <w:rPr>
          <w:rFonts w:asciiTheme="minorHAnsi" w:hAnsiTheme="minorHAnsi" w:cstheme="minorHAnsi"/>
          <w:color w:val="000000"/>
          <w:sz w:val="22"/>
          <w:szCs w:val="24"/>
        </w:rPr>
        <w:t xml:space="preserve">(cf. in Direito  Municipal Brasileiro,   18ª ed., </w:t>
      </w:r>
      <w:r w:rsidRPr="0095042B">
        <w:rPr>
          <w:rFonts w:asciiTheme="minorHAnsi" w:hAnsiTheme="minorHAnsi" w:cstheme="minorHAnsi"/>
          <w:color w:val="000000"/>
          <w:sz w:val="22"/>
          <w:szCs w:val="24"/>
        </w:rPr>
        <w:t>Ma</w:t>
      </w:r>
      <w:r w:rsidRPr="0095042B">
        <w:rPr>
          <w:rFonts w:asciiTheme="minorHAnsi" w:hAnsiTheme="minorHAnsi" w:cstheme="minorHAnsi"/>
          <w:color w:val="000000"/>
          <w:sz w:val="22"/>
          <w:szCs w:val="24"/>
        </w:rPr>
        <w:t xml:space="preserve">       </w:t>
      </w:r>
    </w:p>
    <w:p w:rsidR="007341A9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  <w:r w:rsidRPr="0095042B">
        <w:rPr>
          <w:rFonts w:asciiTheme="minorHAnsi" w:hAnsiTheme="minorHAnsi" w:cstheme="minorHAnsi"/>
          <w:color w:val="000000"/>
          <w:sz w:val="22"/>
          <w:szCs w:val="24"/>
        </w:rPr>
        <w:t xml:space="preserve">                                                                  </w:t>
      </w:r>
      <w:r w:rsidRPr="0095042B">
        <w:rPr>
          <w:rFonts w:asciiTheme="minorHAnsi" w:hAnsiTheme="minorHAnsi" w:cstheme="minorHAnsi"/>
          <w:color w:val="000000"/>
          <w:sz w:val="22"/>
          <w:szCs w:val="24"/>
        </w:rPr>
        <w:t>lheiros</w:t>
      </w:r>
      <w:r w:rsidRPr="0095042B">
        <w:rPr>
          <w:rFonts w:asciiTheme="minorHAnsi" w:hAnsiTheme="minorHAnsi" w:cstheme="minorHAnsi"/>
          <w:color w:val="000000"/>
          <w:sz w:val="22"/>
          <w:szCs w:val="24"/>
        </w:rPr>
        <w:t>, São Paulo, 2017, p. 696)”.</w:t>
      </w:r>
    </w:p>
    <w:p w:rsidR="00B341D3" w:rsidRPr="0095042B" w:rsidP="007341A9">
      <w:pPr>
        <w:pStyle w:val="BodyText"/>
        <w:spacing w:after="0" w:line="240" w:lineRule="auto"/>
        <w:rPr>
          <w:rFonts w:asciiTheme="minorHAnsi" w:hAnsiTheme="minorHAnsi" w:cstheme="minorHAnsi"/>
          <w:i/>
          <w:color w:val="000000"/>
          <w:sz w:val="22"/>
          <w:szCs w:val="24"/>
        </w:rPr>
      </w:pPr>
    </w:p>
    <w:p w:rsidR="00D73B1A" w:rsidRPr="0095042B" w:rsidP="006D782E">
      <w:pPr>
        <w:pStyle w:val="BodyText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 </w:t>
      </w:r>
      <w:r w:rsidRPr="0095042B" w:rsidR="00982904">
        <w:rPr>
          <w:rFonts w:asciiTheme="minorHAnsi" w:hAnsiTheme="minorHAnsi" w:cstheme="minorHAnsi"/>
          <w:i/>
          <w:color w:val="000000"/>
          <w:sz w:val="22"/>
          <w:szCs w:val="24"/>
        </w:rPr>
        <w:t xml:space="preserve"> </w:t>
      </w:r>
      <w:r w:rsidRPr="0095042B" w:rsidR="0098290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813BB4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Nesse sentido, tem-se a orientação verificada no Manual Prático do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Cepam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95042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“É, pois, por meio decreto legislativo que concedem títulos de cidadão honorário ou qualquer outra honraria ou homenagem a pessoas”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>(cf. in O Processo e a Técnica Legislativa Municipal, 2ª ed., Imprensa Oficial, São Paulo, 2001, p. 46).</w:t>
      </w:r>
    </w:p>
    <w:p w:rsidR="00F202AB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Portanto e se tratando de projeto de Decreto Legislativo, encontra-se atendido o regramento regimental.</w:t>
      </w:r>
    </w:p>
    <w:p w:rsidR="00F202AB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Diante de todo o exposto, denota-se que a propositura não possui vícios legais ou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 xml:space="preserve">       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constitucionais.</w:t>
      </w:r>
    </w:p>
    <w:p w:rsidR="00C02554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Por sua vez, destaca-se que a Câmara Municipal possui dotação orçamentaria inerente e necessária para realização do evento, desde que respeitando os Princípios Constitucionais da Razoabilidade, Moralidade e principalmente Economicidade.</w:t>
      </w:r>
    </w:p>
    <w:p w:rsidR="00C02554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As despesas deverão ser realizadas em conformidade com os entendimentos pretéritos já exarados pelo Tribunal de Contas do Estado de São Paulo e dentro dos limites orçamentários da Casa.</w:t>
      </w:r>
    </w:p>
    <w:p w:rsidR="00B341D3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           Diante do exposto e dentro das competências prevista no Regimento Interno desta Casa de Leis, a </w:t>
      </w: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Comissão de Justiça e Redação</w:t>
      </w:r>
      <w:r w:rsidRPr="0095042B" w:rsidR="00D4265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95042B" w:rsidR="00D4265F">
        <w:rPr>
          <w:rFonts w:asciiTheme="minorHAnsi" w:hAnsiTheme="minorHAnsi" w:cstheme="minorHAnsi"/>
          <w:color w:val="000000"/>
          <w:sz w:val="24"/>
          <w:szCs w:val="24"/>
        </w:rPr>
        <w:t xml:space="preserve">em conjunto com a </w:t>
      </w:r>
      <w:r w:rsidRPr="0095042B" w:rsidR="00D4265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Comissão de Finanças e </w:t>
      </w:r>
      <w:r w:rsidRPr="0095042B" w:rsidR="007341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</w:t>
      </w:r>
      <w:r w:rsidRPr="0095042B" w:rsidR="00D4265F">
        <w:rPr>
          <w:rFonts w:asciiTheme="minorHAnsi" w:hAnsiTheme="minorHAnsi" w:cstheme="minorHAnsi"/>
          <w:b/>
          <w:color w:val="000000"/>
          <w:sz w:val="24"/>
          <w:szCs w:val="24"/>
        </w:rPr>
        <w:t>Orçamento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>, exaram</w:t>
      </w:r>
      <w:r w:rsidRPr="0095042B">
        <w:rPr>
          <w:rFonts w:asciiTheme="minorHAnsi" w:hAnsiTheme="minorHAnsi" w:cstheme="minorHAnsi"/>
          <w:color w:val="000000"/>
          <w:sz w:val="24"/>
          <w:szCs w:val="24"/>
        </w:rPr>
        <w:t xml:space="preserve"> parecer </w:t>
      </w:r>
      <w:r w:rsidRPr="0095042B" w:rsidR="008A3BCE">
        <w:rPr>
          <w:rFonts w:asciiTheme="minorHAnsi" w:hAnsiTheme="minorHAnsi" w:cstheme="minorHAnsi"/>
          <w:b/>
          <w:color w:val="000000"/>
          <w:sz w:val="24"/>
          <w:szCs w:val="24"/>
        </w:rPr>
        <w:t>Favorável</w:t>
      </w:r>
      <w:r w:rsidRPr="0095042B" w:rsidR="007341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 xml:space="preserve">remetente o presente </w:t>
      </w:r>
      <w:r w:rsidRPr="0095042B" w:rsidR="007341A9">
        <w:rPr>
          <w:rFonts w:asciiTheme="minorHAnsi" w:hAnsiTheme="minorHAnsi" w:cstheme="minorHAnsi"/>
          <w:b/>
          <w:color w:val="000000"/>
          <w:sz w:val="24"/>
          <w:szCs w:val="24"/>
        </w:rPr>
        <w:t>Projeto de Decreto Legislativo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 xml:space="preserve">, ao </w:t>
      </w:r>
      <w:r w:rsidRPr="0095042B" w:rsidR="007341A9">
        <w:rPr>
          <w:rFonts w:asciiTheme="minorHAnsi" w:hAnsiTheme="minorHAnsi" w:cstheme="minorHAnsi"/>
          <w:b/>
          <w:color w:val="000000"/>
          <w:sz w:val="24"/>
          <w:szCs w:val="24"/>
        </w:rPr>
        <w:t>Douto Plenário</w:t>
      </w:r>
      <w:r w:rsidRPr="0095042B" w:rsidR="007341A9">
        <w:rPr>
          <w:rFonts w:asciiTheme="minorHAnsi" w:hAnsiTheme="minorHAnsi" w:cstheme="minorHAnsi"/>
          <w:color w:val="000000"/>
          <w:sz w:val="24"/>
          <w:szCs w:val="24"/>
        </w:rPr>
        <w:t xml:space="preserve"> para deliberação. </w:t>
      </w:r>
    </w:p>
    <w:p w:rsidR="007341A9" w:rsidRPr="0095042B" w:rsidP="006D782E">
      <w:pPr>
        <w:pStyle w:val="BodyText"/>
        <w:spacing w:before="240" w:after="0"/>
        <w:rPr>
          <w:rFonts w:asciiTheme="minorHAnsi" w:hAnsiTheme="minorHAnsi" w:cstheme="minorHAnsi"/>
          <w:color w:val="000000"/>
          <w:sz w:val="24"/>
          <w:szCs w:val="24"/>
        </w:rPr>
      </w:pPr>
    </w:p>
    <w:p w:rsidR="008615FD" w:rsidRPr="0095042B" w:rsidP="006D782E">
      <w:pPr>
        <w:pStyle w:val="BodyText"/>
        <w:spacing w:before="240" w:after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Sala das Comissões, em </w:t>
      </w:r>
      <w:r w:rsidRPr="0095042B" w:rsidR="008A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10</w:t>
      </w:r>
      <w:r w:rsidRPr="0095042B" w:rsidR="0072400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de </w:t>
      </w:r>
      <w:r w:rsidRPr="0095042B" w:rsidR="007155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dezembro</w:t>
      </w:r>
      <w:r w:rsidRPr="0095042B" w:rsidR="00352E5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de 202</w:t>
      </w:r>
      <w:r w:rsidRPr="0095042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5</w:t>
      </w:r>
      <w:r w:rsidRPr="0095042B" w:rsidR="0072400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8615FD" w:rsidRPr="0095042B" w:rsidP="006D782E">
      <w:pPr>
        <w:pStyle w:val="BodyText"/>
        <w:spacing w:before="238" w:after="0"/>
        <w:contextualSpacing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45E06" w:rsidRPr="0095042B" w:rsidP="006D782E">
      <w:pPr>
        <w:pStyle w:val="BodyText"/>
        <w:spacing w:before="238" w:after="0"/>
        <w:contextualSpacing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45E06" w:rsidRPr="0095042B" w:rsidP="006D782E">
      <w:pPr>
        <w:pStyle w:val="BodyText"/>
        <w:spacing w:before="238" w:after="0"/>
        <w:contextualSpacing/>
        <w:rPr>
          <w:rFonts w:asciiTheme="minorHAnsi" w:hAnsiTheme="minorHAnsi" w:cstheme="minorHAnsi"/>
          <w:color w:val="000000"/>
        </w:rPr>
      </w:pPr>
      <w:r w:rsidRPr="0095042B">
        <w:rPr>
          <w:rFonts w:asciiTheme="minorHAnsi" w:hAnsiTheme="minorHAnsi" w:cstheme="minorHAnsi"/>
          <w:color w:val="000000"/>
        </w:rPr>
        <w:t xml:space="preserve">                                                                           (Assina digitalmente)</w:t>
      </w:r>
    </w:p>
    <w:p w:rsidR="00A45E06" w:rsidRPr="0095042B" w:rsidP="006D782E">
      <w:pPr>
        <w:pStyle w:val="BodyText"/>
        <w:spacing w:before="238" w:after="0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Vereador Wilians Mendes de Oliveira</w:t>
      </w:r>
    </w:p>
    <w:p w:rsidR="004A22B1" w:rsidRPr="0095042B" w:rsidP="006D782E">
      <w:pPr>
        <w:pStyle w:val="BodyText"/>
        <w:spacing w:before="238" w:after="0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42B">
        <w:rPr>
          <w:rFonts w:asciiTheme="minorHAnsi" w:hAnsiTheme="minorHAnsi" w:cstheme="minorHAnsi"/>
          <w:b/>
          <w:color w:val="000000"/>
          <w:sz w:val="24"/>
          <w:szCs w:val="24"/>
        </w:rPr>
        <w:t>Relator do Projeto de Decreto Legislativo</w:t>
      </w:r>
    </w:p>
    <w:p w:rsidR="00A45E06" w:rsidRPr="0095042B" w:rsidP="007341A9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95042B">
        <w:rPr>
          <w:rFonts w:asciiTheme="minorHAnsi" w:hAnsiTheme="minorHAnsi" w:cstheme="minorHAnsi"/>
          <w:sz w:val="24"/>
          <w:szCs w:val="24"/>
        </w:rPr>
        <w:br/>
      </w:r>
    </w:p>
    <w:p w:rsidR="00A45E06" w:rsidRPr="0095042B" w:rsidP="006D782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8615FD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8615FD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95042B" w:rsidR="00106B6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WAGNER RICARDO PEREIRA</w:t>
      </w:r>
    </w:p>
    <w:p w:rsidR="008615FD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</w:t>
      </w:r>
      <w:r w:rsidRPr="0095042B" w:rsidR="0072400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residente</w:t>
      </w:r>
    </w:p>
    <w:p w:rsidR="00715542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715542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352E5F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715542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352E5F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95042B" w:rsidR="0071554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WILIANS MENDES DE OLIVEIRA</w:t>
      </w:r>
    </w:p>
    <w:p w:rsidR="008615FD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6D2D53" w:rsidRPr="0095042B" w:rsidP="006D782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042B">
        <w:rPr>
          <w:rFonts w:asciiTheme="minorHAnsi" w:hAnsiTheme="minorHAnsi" w:cstheme="minorHAnsi"/>
          <w:color w:val="000000"/>
        </w:rPr>
        <w:t>(Assina digitalmente)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7341A9" w:rsidRPr="0095042B" w:rsidP="007341A9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5042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80765"/>
    <w:rsid w:val="000D6F26"/>
    <w:rsid w:val="000E414F"/>
    <w:rsid w:val="000F45EA"/>
    <w:rsid w:val="00106B62"/>
    <w:rsid w:val="00184F80"/>
    <w:rsid w:val="00186843"/>
    <w:rsid w:val="0019435E"/>
    <w:rsid w:val="001B124E"/>
    <w:rsid w:val="00206ABF"/>
    <w:rsid w:val="00255AB9"/>
    <w:rsid w:val="002652A1"/>
    <w:rsid w:val="00272A03"/>
    <w:rsid w:val="002879F0"/>
    <w:rsid w:val="002B456D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555E9"/>
    <w:rsid w:val="00463CBE"/>
    <w:rsid w:val="00466A2B"/>
    <w:rsid w:val="004A22B1"/>
    <w:rsid w:val="004A46DA"/>
    <w:rsid w:val="004D0A1B"/>
    <w:rsid w:val="004E1CCB"/>
    <w:rsid w:val="005163AB"/>
    <w:rsid w:val="00516DD1"/>
    <w:rsid w:val="00564A42"/>
    <w:rsid w:val="00581C60"/>
    <w:rsid w:val="005C3BD3"/>
    <w:rsid w:val="005D2B9A"/>
    <w:rsid w:val="005E5A01"/>
    <w:rsid w:val="00602F85"/>
    <w:rsid w:val="00614281"/>
    <w:rsid w:val="006179A4"/>
    <w:rsid w:val="00645F20"/>
    <w:rsid w:val="00660E82"/>
    <w:rsid w:val="006B30C7"/>
    <w:rsid w:val="006B48A7"/>
    <w:rsid w:val="006B78BC"/>
    <w:rsid w:val="006D2D53"/>
    <w:rsid w:val="006D782E"/>
    <w:rsid w:val="006F0330"/>
    <w:rsid w:val="007058BC"/>
    <w:rsid w:val="007103D5"/>
    <w:rsid w:val="00710C84"/>
    <w:rsid w:val="00715542"/>
    <w:rsid w:val="00716F9B"/>
    <w:rsid w:val="0072400E"/>
    <w:rsid w:val="007341A9"/>
    <w:rsid w:val="00766A52"/>
    <w:rsid w:val="0078183D"/>
    <w:rsid w:val="007841A8"/>
    <w:rsid w:val="007974F1"/>
    <w:rsid w:val="008053EA"/>
    <w:rsid w:val="00813BB4"/>
    <w:rsid w:val="0082424A"/>
    <w:rsid w:val="008615FD"/>
    <w:rsid w:val="00866A1A"/>
    <w:rsid w:val="008A3BCE"/>
    <w:rsid w:val="008A5A74"/>
    <w:rsid w:val="008C6540"/>
    <w:rsid w:val="008F734D"/>
    <w:rsid w:val="00922054"/>
    <w:rsid w:val="0095042B"/>
    <w:rsid w:val="00956844"/>
    <w:rsid w:val="00957F2C"/>
    <w:rsid w:val="00976458"/>
    <w:rsid w:val="0098178C"/>
    <w:rsid w:val="00982904"/>
    <w:rsid w:val="009E292A"/>
    <w:rsid w:val="009F7E99"/>
    <w:rsid w:val="00A14033"/>
    <w:rsid w:val="00A3081B"/>
    <w:rsid w:val="00A45E06"/>
    <w:rsid w:val="00A661F9"/>
    <w:rsid w:val="00A77BB5"/>
    <w:rsid w:val="00A8293C"/>
    <w:rsid w:val="00AC41C2"/>
    <w:rsid w:val="00AF6D89"/>
    <w:rsid w:val="00B026BE"/>
    <w:rsid w:val="00B1395A"/>
    <w:rsid w:val="00B341D3"/>
    <w:rsid w:val="00B37CE9"/>
    <w:rsid w:val="00B637FF"/>
    <w:rsid w:val="00B956A8"/>
    <w:rsid w:val="00BA45DE"/>
    <w:rsid w:val="00BA5959"/>
    <w:rsid w:val="00BB4B19"/>
    <w:rsid w:val="00BC5ED3"/>
    <w:rsid w:val="00BF1E5C"/>
    <w:rsid w:val="00BF3131"/>
    <w:rsid w:val="00C02554"/>
    <w:rsid w:val="00C34A3D"/>
    <w:rsid w:val="00C41CD9"/>
    <w:rsid w:val="00C75697"/>
    <w:rsid w:val="00CF0FBF"/>
    <w:rsid w:val="00D16CDC"/>
    <w:rsid w:val="00D2557E"/>
    <w:rsid w:val="00D4265F"/>
    <w:rsid w:val="00D73B1A"/>
    <w:rsid w:val="00D77F3C"/>
    <w:rsid w:val="00D87740"/>
    <w:rsid w:val="00DA1E4A"/>
    <w:rsid w:val="00DB6F99"/>
    <w:rsid w:val="00DC5048"/>
    <w:rsid w:val="00DC5CF2"/>
    <w:rsid w:val="00E01CAC"/>
    <w:rsid w:val="00E2537D"/>
    <w:rsid w:val="00E5668D"/>
    <w:rsid w:val="00E80FEE"/>
    <w:rsid w:val="00E851C4"/>
    <w:rsid w:val="00EC3DC0"/>
    <w:rsid w:val="00EC5039"/>
    <w:rsid w:val="00EC54AD"/>
    <w:rsid w:val="00F202AB"/>
    <w:rsid w:val="00F4149B"/>
    <w:rsid w:val="00FA0F4B"/>
    <w:rsid w:val="00FD0E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D299-0796-430C-B844-D5376695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1151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Wilians</cp:lastModifiedBy>
  <cp:revision>4</cp:revision>
  <cp:lastPrinted>2023-09-06T14:30:00Z</cp:lastPrinted>
  <dcterms:created xsi:type="dcterms:W3CDTF">2025-12-10T14:14:00Z</dcterms:created>
  <dcterms:modified xsi:type="dcterms:W3CDTF">2025-12-10T18:58:00Z</dcterms:modified>
  <dc:language>pt-BR</dc:language>
</cp:coreProperties>
</file>