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20055B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20055B">
        <w:rPr>
          <w:rFonts w:asciiTheme="majorHAnsi" w:hAnsiTheme="majorHAnsi" w:cstheme="majorHAnsi"/>
          <w:b/>
          <w:color w:val="000000"/>
          <w:sz w:val="24"/>
          <w:szCs w:val="24"/>
        </w:rPr>
        <w:t>RELATÓRIO</w:t>
      </w:r>
    </w:p>
    <w:p w:rsidR="00322469" w:rsidRPr="0020055B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A6258" w:rsidRPr="0020055B" w:rsidP="001728BA" w14:paraId="1E87F99B" w14:textId="24548EA4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20055B">
        <w:rPr>
          <w:rStyle w:val="Strong"/>
          <w:rFonts w:asciiTheme="majorHAnsi" w:hAnsiTheme="majorHAnsi" w:cstheme="majorHAnsi"/>
        </w:rPr>
        <w:t xml:space="preserve">PROJETO DE </w:t>
      </w:r>
      <w:r w:rsidRPr="0020055B" w:rsidR="0019515C">
        <w:rPr>
          <w:rStyle w:val="Strong"/>
          <w:rFonts w:asciiTheme="majorHAnsi" w:hAnsiTheme="majorHAnsi" w:cstheme="majorHAnsi"/>
        </w:rPr>
        <w:t>LE</w:t>
      </w:r>
      <w:r w:rsidRPr="0020055B" w:rsidR="0020055B">
        <w:rPr>
          <w:rStyle w:val="Strong"/>
          <w:rFonts w:asciiTheme="majorHAnsi" w:hAnsiTheme="majorHAnsi" w:cstheme="majorHAnsi"/>
        </w:rPr>
        <w:t>I Nº 170</w:t>
      </w:r>
      <w:r w:rsidRPr="0020055B" w:rsidR="00F74441">
        <w:rPr>
          <w:rStyle w:val="Strong"/>
          <w:rFonts w:asciiTheme="majorHAnsi" w:hAnsiTheme="majorHAnsi" w:cstheme="majorHAnsi"/>
        </w:rPr>
        <w:t xml:space="preserve"> DE 2025</w:t>
      </w:r>
      <w:r w:rsidRPr="0020055B" w:rsidR="0019515C">
        <w:rPr>
          <w:rStyle w:val="Strong"/>
          <w:rFonts w:asciiTheme="majorHAnsi" w:hAnsiTheme="majorHAnsi" w:cstheme="majorHAnsi"/>
        </w:rPr>
        <w:t xml:space="preserve"> – </w:t>
      </w:r>
      <w:r w:rsidRPr="0020055B" w:rsidR="0020055B">
        <w:rPr>
          <w:rStyle w:val="Strong"/>
          <w:rFonts w:asciiTheme="majorHAnsi" w:hAnsiTheme="majorHAnsi" w:cstheme="majorHAnsi"/>
        </w:rPr>
        <w:t>PODER EXECUTIVO</w:t>
      </w:r>
      <w:r w:rsidRPr="0020055B" w:rsidR="00177D08">
        <w:rPr>
          <w:rStyle w:val="Strong"/>
          <w:rFonts w:asciiTheme="majorHAnsi" w:hAnsiTheme="majorHAnsi" w:cstheme="majorHAnsi"/>
        </w:rPr>
        <w:t>.</w:t>
      </w:r>
    </w:p>
    <w:p w:rsidR="00177D08" w:rsidRPr="0020055B" w:rsidP="001728BA" w14:paraId="7A9E0023" w14:textId="02A57169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  <w:r w:rsidRPr="0020055B">
        <w:rPr>
          <w:rFonts w:asciiTheme="majorHAnsi" w:hAnsiTheme="majorHAnsi" w:cstheme="majorHAnsi"/>
        </w:rPr>
        <w:t>“</w:t>
      </w:r>
      <w:r w:rsidRPr="0020055B" w:rsidR="0020055B">
        <w:rPr>
          <w:rFonts w:asciiTheme="majorHAnsi" w:hAnsiTheme="majorHAnsi" w:cstheme="majorHAnsi"/>
        </w:rPr>
        <w:t>Institui a Diária Especial por Atividade Complementar (DEAC) para os integrantes do quadro de servidores da Guarda Civil Municipal e do Bombeiro Municipal e dá outras providências. ”</w:t>
      </w:r>
    </w:p>
    <w:p w:rsidR="00177D08" w:rsidRPr="0020055B" w:rsidP="001728BA" w14:paraId="50443CA8" w14:textId="77777777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</w:p>
    <w:p w:rsidR="00F74441" w:rsidRPr="0020055B" w:rsidP="001728BA" w14:paraId="71819A52" w14:textId="54564165">
      <w:pPr>
        <w:pStyle w:val="NormalWeb"/>
        <w:spacing w:before="0" w:beforeAutospacing="0" w:after="0" w:afterAutospacing="0" w:line="360" w:lineRule="auto"/>
        <w:rPr>
          <w:rStyle w:val="Strong"/>
          <w:rFonts w:asciiTheme="majorHAnsi" w:hAnsiTheme="majorHAnsi" w:cstheme="majorHAnsi"/>
          <w:bCs w:val="0"/>
        </w:rPr>
      </w:pPr>
      <w:r w:rsidRPr="0020055B">
        <w:rPr>
          <w:rStyle w:val="Strong"/>
          <w:rFonts w:asciiTheme="majorHAnsi" w:hAnsiTheme="majorHAnsi" w:cstheme="majorHAnsi"/>
        </w:rPr>
        <w:t>RELATOR: VEREADOR W</w:t>
      </w:r>
      <w:r w:rsidRPr="0020055B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20055B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20055B" w:rsidRPr="0020055B" w:rsidP="0020055B" w14:paraId="498E3745" w14:textId="77777777">
      <w:pPr>
        <w:pStyle w:val="NormalWeb"/>
        <w:rPr>
          <w:rFonts w:asciiTheme="majorHAnsi" w:hAnsiTheme="majorHAnsi" w:cstheme="majorHAnsi"/>
        </w:rPr>
      </w:pPr>
      <w:r w:rsidRPr="0020055B">
        <w:rPr>
          <w:rStyle w:val="citation-71"/>
          <w:rFonts w:asciiTheme="majorHAnsi" w:hAnsiTheme="majorHAnsi" w:cstheme="majorHAnsi"/>
        </w:rPr>
        <w:t>O Projeto de Lei nº 170 de 2025, de autoria do Chefe do Poder Executivo, propõe a instituição da Diária Especial por Atividade Complementar (DEAC) para os servidores da Guarda Civil Municipal e do Bombeiro Municipal</w:t>
      </w:r>
      <w:r w:rsidRPr="0020055B">
        <w:rPr>
          <w:rFonts w:asciiTheme="majorHAnsi" w:hAnsiTheme="majorHAnsi" w:cstheme="majorHAnsi"/>
        </w:rPr>
        <w:t>.</w:t>
      </w:r>
    </w:p>
    <w:p w:rsidR="0020055B" w:rsidRPr="0020055B" w:rsidP="0020055B" w14:paraId="6FEB22C3" w14:textId="77777777">
      <w:pPr>
        <w:pStyle w:val="NormalWeb"/>
        <w:rPr>
          <w:rFonts w:asciiTheme="majorHAnsi" w:hAnsiTheme="majorHAnsi" w:cstheme="majorHAnsi"/>
        </w:rPr>
      </w:pPr>
      <w:r w:rsidRPr="0020055B">
        <w:rPr>
          <w:rStyle w:val="citation-70"/>
          <w:rFonts w:asciiTheme="majorHAnsi" w:hAnsiTheme="majorHAnsi" w:cstheme="majorHAnsi"/>
        </w:rPr>
        <w:t>A DEAC tem por objetivo permitir que esses servidores desenvolvam atividades em dias e horários específicos, em caráter excepcional e complementar, mediante autorização do Chefe do Poder Executivo, para atender a demandas pontuais e reforçar operações</w:t>
      </w:r>
      <w:r w:rsidRPr="0020055B">
        <w:rPr>
          <w:rFonts w:asciiTheme="majorHAnsi" w:hAnsiTheme="majorHAnsi" w:cstheme="majorHAnsi"/>
        </w:rPr>
        <w:t>.</w:t>
      </w:r>
    </w:p>
    <w:p w:rsidR="0020055B" w:rsidRPr="0020055B" w:rsidP="0020055B" w14:paraId="2AA184BC" w14:textId="77777777">
      <w:pPr>
        <w:pStyle w:val="NormalWeb"/>
        <w:rPr>
          <w:rFonts w:asciiTheme="majorHAnsi" w:hAnsiTheme="majorHAnsi" w:cstheme="majorHAnsi"/>
        </w:rPr>
      </w:pPr>
      <w:r w:rsidRPr="0020055B">
        <w:rPr>
          <w:rStyle w:val="citation-69"/>
          <w:rFonts w:asciiTheme="majorHAnsi" w:hAnsiTheme="majorHAnsi" w:cstheme="majorHAnsi"/>
        </w:rPr>
        <w:t>Conforme o texto legal, a gratificação possui natureza indenizatória</w:t>
      </w:r>
      <w:r w:rsidRPr="0020055B">
        <w:rPr>
          <w:rFonts w:asciiTheme="majorHAnsi" w:hAnsiTheme="majorHAnsi" w:cstheme="majorHAnsi"/>
        </w:rPr>
        <w:t xml:space="preserve">. </w:t>
      </w:r>
      <w:r w:rsidRPr="0020055B">
        <w:rPr>
          <w:rStyle w:val="citation-68"/>
          <w:rFonts w:asciiTheme="majorHAnsi" w:hAnsiTheme="majorHAnsi" w:cstheme="majorHAnsi"/>
        </w:rPr>
        <w:t>Isso implica que o valor pago pela DEAC não será incorporado aos vencimentos, nem considerado para cálculo de outras vantagens, e sobre ele não incidirão descontos previdenciários ou de natureza tributária</w:t>
      </w:r>
      <w:r w:rsidRPr="0020055B">
        <w:rPr>
          <w:rFonts w:asciiTheme="majorHAnsi" w:hAnsiTheme="majorHAnsi" w:cstheme="majorHAnsi"/>
        </w:rPr>
        <w:t>.</w:t>
      </w:r>
    </w:p>
    <w:p w:rsidR="0020055B" w:rsidRPr="0020055B" w:rsidP="0020055B" w14:paraId="116DD75F" w14:textId="231B1F50">
      <w:pPr>
        <w:pStyle w:val="NormalWeb"/>
        <w:rPr>
          <w:rFonts w:asciiTheme="majorHAnsi" w:hAnsiTheme="majorHAnsi" w:cstheme="majorHAnsi"/>
        </w:rPr>
      </w:pPr>
      <w:r w:rsidRPr="0020055B">
        <w:rPr>
          <w:rStyle w:val="citation-67"/>
          <w:rFonts w:asciiTheme="majorHAnsi" w:hAnsiTheme="majorHAnsi" w:cstheme="majorHAnsi"/>
        </w:rPr>
        <w:t>A proposta prevê que o cálculo do valor da hora trabalhada será baseado na Unidade Fiscal do Estado de São Paulo (UFESP), com coeficientes variando de 1,5 a 2,0 UFESP, dependendo da classificação do servidor (Guarda/Bombeiro, Inspetor/Subinspetor ou Comandante)</w:t>
      </w:r>
      <w:r w:rsidRPr="0020055B">
        <w:rPr>
          <w:rFonts w:asciiTheme="majorHAnsi" w:hAnsiTheme="majorHAnsi" w:cstheme="majorHAnsi"/>
        </w:rPr>
        <w:t xml:space="preserve">. </w:t>
      </w:r>
      <w:r w:rsidRPr="0020055B">
        <w:rPr>
          <w:rStyle w:val="citation-66"/>
          <w:rFonts w:asciiTheme="majorHAnsi" w:hAnsiTheme="majorHAnsi" w:cstheme="majorHAnsi"/>
        </w:rPr>
        <w:t>O limite de desempenho será de até 8 (oito) horas contínuas de atividade operacional e 10 (dez) diárias mensais</w:t>
      </w:r>
      <w:r w:rsidRPr="0020055B">
        <w:rPr>
          <w:rFonts w:asciiTheme="majorHAnsi" w:hAnsiTheme="majorHAnsi" w:cstheme="majorHAnsi"/>
        </w:rPr>
        <w:t>.</w:t>
      </w:r>
    </w:p>
    <w:p w:rsidR="0019515C" w:rsidRPr="0020055B" w:rsidP="001728BA" w14:paraId="3FA71327" w14:textId="77777777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</w:rPr>
      </w:pPr>
      <w:r w:rsidRPr="0020055B">
        <w:rPr>
          <w:rFonts w:asciiTheme="majorHAnsi" w:hAnsiTheme="majorHAnsi" w:cstheme="majorHAnsi"/>
          <w:sz w:val="24"/>
          <w:szCs w:val="24"/>
        </w:rPr>
        <w:t>O presente parecer, emitido pela Comissão de Saúde, Educação, Cultura, Esporte e Assistência Social, tem como objetivo analisar a pertinência da matéria e suas implicações nas áreas de competência desta Comissão.</w:t>
      </w:r>
    </w:p>
    <w:p w:rsidR="00C829EC" w:rsidRPr="0020055B" w:rsidP="001728BA" w14:paraId="19DDF826" w14:textId="2EC0C2DF">
      <w:pPr>
        <w:pStyle w:val="NormalWeb"/>
        <w:jc w:val="both"/>
        <w:rPr>
          <w:rFonts w:asciiTheme="majorHAnsi" w:hAnsiTheme="majorHAnsi" w:cstheme="majorHAnsi"/>
        </w:rPr>
      </w:pPr>
      <w:r w:rsidRPr="0020055B">
        <w:rPr>
          <w:rFonts w:asciiTheme="majorHAnsi" w:hAnsiTheme="majorHAnsi" w:cstheme="majorHAnsi"/>
        </w:rPr>
        <w:t xml:space="preserve">Ressaltamos também que o projeto </w:t>
      </w:r>
      <w:r w:rsidRPr="0020055B" w:rsidR="00DB75E8">
        <w:rPr>
          <w:rFonts w:asciiTheme="majorHAnsi" w:hAnsiTheme="majorHAnsi" w:cstheme="majorHAnsi"/>
        </w:rPr>
        <w:t xml:space="preserve">contou com a análise da </w:t>
      </w:r>
      <w:r w:rsidRPr="0020055B" w:rsidR="00DB75E8">
        <w:rPr>
          <w:rFonts w:asciiTheme="majorHAnsi" w:hAnsiTheme="majorHAnsi" w:cstheme="majorHAnsi"/>
          <w:b/>
        </w:rPr>
        <w:t xml:space="preserve">consultoria jurídica externa (SGP) </w:t>
      </w:r>
      <w:r w:rsidRPr="0020055B" w:rsidR="00DB75E8">
        <w:rPr>
          <w:rFonts w:asciiTheme="majorHAnsi" w:hAnsiTheme="majorHAnsi" w:cstheme="majorHAnsi"/>
        </w:rPr>
        <w:t xml:space="preserve">e </w:t>
      </w:r>
      <w:r w:rsidRPr="0020055B">
        <w:rPr>
          <w:rFonts w:asciiTheme="majorHAnsi" w:hAnsiTheme="majorHAnsi" w:cstheme="majorHAnsi"/>
        </w:rPr>
        <w:t xml:space="preserve">tramitou na </w:t>
      </w:r>
      <w:r w:rsidRPr="0020055B" w:rsidR="0020055B">
        <w:rPr>
          <w:rFonts w:asciiTheme="majorHAnsi" w:hAnsiTheme="majorHAnsi" w:cstheme="majorHAnsi"/>
          <w:b/>
        </w:rPr>
        <w:t>Comissão de Justiça e Redação e</w:t>
      </w:r>
      <w:r w:rsidR="0020055B">
        <w:rPr>
          <w:rFonts w:asciiTheme="majorHAnsi" w:hAnsiTheme="majorHAnsi" w:cstheme="majorHAnsi"/>
          <w:b/>
        </w:rPr>
        <w:t xml:space="preserve"> Finanças e Orçamento.</w:t>
      </w:r>
    </w:p>
    <w:p w:rsidR="0020055B" w:rsidRPr="0020055B" w:rsidP="001728BA" w14:paraId="3AC26609" w14:textId="4ED12BE7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20055B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DB75E8" w:rsidRPr="0020055B" w:rsidP="001728BA" w14:paraId="01DD54F2" w14:textId="480BE149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20055B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20055B" w:rsidRPr="00D41093" w:rsidP="0020055B" w14:paraId="409AB8D7" w14:textId="77777777">
      <w:pPr>
        <w:pStyle w:val="NormalWeb"/>
        <w:rPr>
          <w:rFonts w:asciiTheme="majorHAnsi" w:hAnsiTheme="majorHAnsi" w:cstheme="majorHAnsi"/>
        </w:rPr>
      </w:pPr>
      <w:r w:rsidRPr="00D41093">
        <w:rPr>
          <w:rFonts w:asciiTheme="majorHAnsi" w:hAnsiTheme="majorHAnsi" w:cstheme="majorHAnsi"/>
        </w:rPr>
        <w:t xml:space="preserve">Embora o cerne do Projeto de Lei nº 170/2025 esteja diretamente ligado </w:t>
      </w:r>
      <w:r w:rsidRPr="00D41093">
        <w:rPr>
          <w:rFonts w:asciiTheme="majorHAnsi" w:hAnsiTheme="majorHAnsi" w:cstheme="majorHAnsi"/>
        </w:rPr>
        <w:t>à</w:t>
      </w:r>
      <w:r w:rsidRPr="00D41093">
        <w:rPr>
          <w:rFonts w:asciiTheme="majorHAnsi" w:hAnsiTheme="majorHAnsi" w:cstheme="majorHAnsi"/>
        </w:rPr>
        <w:t xml:space="preserve"> </w:t>
      </w:r>
      <w:r w:rsidRPr="00D41093">
        <w:rPr>
          <w:rFonts w:asciiTheme="majorHAnsi" w:hAnsiTheme="majorHAnsi" w:cstheme="majorHAnsi"/>
          <w:b/>
          <w:bCs/>
        </w:rPr>
        <w:t>Segurança Pública e Defesa Civil</w:t>
      </w:r>
      <w:r w:rsidRPr="00D41093">
        <w:rPr>
          <w:rFonts w:asciiTheme="majorHAnsi" w:hAnsiTheme="majorHAnsi" w:cstheme="majorHAnsi"/>
        </w:rPr>
        <w:t>, a instituição da DEAC apresenta reflexos diretos e indiretos que justificam o posicionamento favorável desta Comissão, em virtude da conveniência e oportunidade da medida para as áreas de Educação, Saúde, Cultura, Esporte e Assistência Social.</w:t>
      </w:r>
    </w:p>
    <w:p w:rsidR="0020055B" w:rsidRPr="00D41093" w:rsidP="0020055B" w14:paraId="0AB1DBB6" w14:textId="77777777">
      <w:pPr>
        <w:pStyle w:val="NormalWeb"/>
        <w:rPr>
          <w:rFonts w:asciiTheme="majorHAnsi" w:hAnsiTheme="majorHAnsi" w:cstheme="majorHAnsi"/>
        </w:rPr>
      </w:pPr>
      <w:r w:rsidRPr="00D41093">
        <w:rPr>
          <w:rFonts w:asciiTheme="majorHAnsi" w:hAnsiTheme="majorHAnsi" w:cstheme="majorHAnsi"/>
          <w:b/>
          <w:bCs/>
        </w:rPr>
        <w:t>1. Impacto na Saúde e Assistência Social:</w:t>
      </w:r>
    </w:p>
    <w:p w:rsidR="0020055B" w:rsidRPr="00D41093" w:rsidP="0020055B" w14:paraId="64469328" w14:textId="77777777">
      <w:pPr>
        <w:pStyle w:val="NormalWeb"/>
        <w:numPr>
          <w:ilvl w:val="0"/>
          <w:numId w:val="32"/>
        </w:numPr>
        <w:rPr>
          <w:rFonts w:asciiTheme="majorHAnsi" w:hAnsiTheme="majorHAnsi" w:cstheme="majorHAnsi"/>
        </w:rPr>
      </w:pPr>
      <w:r w:rsidRPr="00D41093">
        <w:rPr>
          <w:rStyle w:val="citation-63"/>
          <w:rFonts w:asciiTheme="majorHAnsi" w:hAnsiTheme="majorHAnsi" w:cstheme="majorHAnsi"/>
          <w:b/>
          <w:bCs/>
        </w:rPr>
        <w:t>Saúde:</w:t>
      </w:r>
      <w:r w:rsidRPr="00D41093">
        <w:rPr>
          <w:rStyle w:val="citation-63"/>
          <w:rFonts w:asciiTheme="majorHAnsi" w:hAnsiTheme="majorHAnsi" w:cstheme="majorHAnsi"/>
        </w:rPr>
        <w:t xml:space="preserve"> A atuação do </w:t>
      </w:r>
      <w:r w:rsidRPr="00D41093">
        <w:rPr>
          <w:rStyle w:val="citation-63"/>
          <w:rFonts w:asciiTheme="majorHAnsi" w:hAnsiTheme="majorHAnsi" w:cstheme="majorHAnsi"/>
          <w:b/>
          <w:bCs/>
        </w:rPr>
        <w:t>Bombeiro Municipal</w:t>
      </w:r>
      <w:r w:rsidRPr="00D41093">
        <w:rPr>
          <w:rStyle w:val="citation-63"/>
          <w:rFonts w:asciiTheme="majorHAnsi" w:hAnsiTheme="majorHAnsi" w:cstheme="majorHAnsi"/>
        </w:rPr>
        <w:t xml:space="preserve"> é essencial para a resposta a situações de emergência, resgate e salvamento, que são cruciais para a preservação da saúde e vida da população</w:t>
      </w:r>
      <w:r w:rsidRPr="00D41093">
        <w:rPr>
          <w:rFonts w:asciiTheme="majorHAnsi" w:hAnsiTheme="majorHAnsi" w:cstheme="majorHAnsi"/>
        </w:rPr>
        <w:t xml:space="preserve">. </w:t>
      </w:r>
      <w:r w:rsidRPr="00D41093">
        <w:rPr>
          <w:rStyle w:val="citation-62"/>
          <w:rFonts w:asciiTheme="majorHAnsi" w:hAnsiTheme="majorHAnsi" w:cstheme="majorHAnsi"/>
        </w:rPr>
        <w:t>O fortalecimento da capacidade operacional do Bombeiro Municipal, possibilitado pela DEAC, resulta em maior agilidade e eficiência no atendimento a ocorrências que impactam diretamente a saúde pública</w:t>
      </w:r>
      <w:r w:rsidRPr="00D41093">
        <w:rPr>
          <w:rFonts w:asciiTheme="majorHAnsi" w:hAnsiTheme="majorHAnsi" w:cstheme="majorHAnsi"/>
        </w:rPr>
        <w:t>.</w:t>
      </w:r>
    </w:p>
    <w:p w:rsidR="0020055B" w:rsidRPr="00D41093" w:rsidP="0020055B" w14:paraId="02884EA9" w14:textId="77777777">
      <w:pPr>
        <w:pStyle w:val="NormalWeb"/>
        <w:numPr>
          <w:ilvl w:val="0"/>
          <w:numId w:val="32"/>
        </w:numPr>
        <w:rPr>
          <w:rFonts w:asciiTheme="majorHAnsi" w:hAnsiTheme="majorHAnsi" w:cstheme="majorHAnsi"/>
        </w:rPr>
      </w:pPr>
      <w:r w:rsidRPr="00D41093">
        <w:rPr>
          <w:rStyle w:val="citation-61"/>
          <w:rFonts w:asciiTheme="majorHAnsi" w:hAnsiTheme="majorHAnsi" w:cstheme="majorHAnsi"/>
          <w:b/>
          <w:bCs/>
        </w:rPr>
        <w:t>Assistência Social:</w:t>
      </w:r>
      <w:r w:rsidRPr="00D41093">
        <w:rPr>
          <w:rStyle w:val="citation-61"/>
          <w:rFonts w:asciiTheme="majorHAnsi" w:hAnsiTheme="majorHAnsi" w:cstheme="majorHAnsi"/>
        </w:rPr>
        <w:t xml:space="preserve"> O incremento da presença preventiva da Guarda Civil Municipal em horários críticos e áreas estratégicas, viabilizado pelo caráter complementar da DEAC, contribui para a segurança comunitária</w:t>
      </w:r>
      <w:r w:rsidRPr="00D41093">
        <w:rPr>
          <w:rFonts w:asciiTheme="majorHAnsi" w:hAnsiTheme="majorHAnsi" w:cstheme="majorHAnsi"/>
        </w:rPr>
        <w:t xml:space="preserve">. </w:t>
      </w:r>
      <w:r w:rsidRPr="00D41093">
        <w:rPr>
          <w:rStyle w:val="citation-60"/>
          <w:rFonts w:asciiTheme="majorHAnsi" w:hAnsiTheme="majorHAnsi" w:cstheme="majorHAnsi"/>
        </w:rPr>
        <w:t>A maior presença e capacidade de resposta em campo (GCM e Bombeiro Municipal) também otimizam a proteção a cidadãos em situação de vulnerabilidade e o atendimento a situações de emergência ou desastres</w:t>
      </w:r>
      <w:r w:rsidRPr="00D41093">
        <w:rPr>
          <w:rFonts w:asciiTheme="majorHAnsi" w:hAnsiTheme="majorHAnsi" w:cstheme="majorHAnsi"/>
        </w:rPr>
        <w:t>.</w:t>
      </w:r>
    </w:p>
    <w:p w:rsidR="0020055B" w:rsidRPr="00D41093" w:rsidP="0020055B" w14:paraId="423E56CD" w14:textId="77777777">
      <w:pPr>
        <w:pStyle w:val="NormalWeb"/>
        <w:rPr>
          <w:rFonts w:asciiTheme="majorHAnsi" w:hAnsiTheme="majorHAnsi" w:cstheme="majorHAnsi"/>
        </w:rPr>
      </w:pPr>
      <w:r w:rsidRPr="00D41093">
        <w:rPr>
          <w:rFonts w:asciiTheme="majorHAnsi" w:hAnsiTheme="majorHAnsi" w:cstheme="majorHAnsi"/>
          <w:b/>
          <w:bCs/>
        </w:rPr>
        <w:t>2. Impacto na Educação, Cultura e Esporte:</w:t>
      </w:r>
    </w:p>
    <w:p w:rsidR="0020055B" w:rsidRPr="00D41093" w:rsidP="0020055B" w14:paraId="6C94D329" w14:textId="77777777">
      <w:pPr>
        <w:pStyle w:val="NormalWeb"/>
        <w:numPr>
          <w:ilvl w:val="0"/>
          <w:numId w:val="33"/>
        </w:numPr>
        <w:rPr>
          <w:rFonts w:asciiTheme="majorHAnsi" w:hAnsiTheme="majorHAnsi" w:cstheme="majorHAnsi"/>
        </w:rPr>
      </w:pPr>
      <w:r w:rsidRPr="00D41093">
        <w:rPr>
          <w:rStyle w:val="citation-59"/>
          <w:rFonts w:asciiTheme="majorHAnsi" w:hAnsiTheme="majorHAnsi" w:cstheme="majorHAnsi"/>
          <w:b/>
          <w:bCs/>
        </w:rPr>
        <w:t>Proteção do Patrimônio Público:</w:t>
      </w:r>
      <w:r w:rsidRPr="00D41093">
        <w:rPr>
          <w:rStyle w:val="citation-59"/>
          <w:rFonts w:asciiTheme="majorHAnsi" w:hAnsiTheme="majorHAnsi" w:cstheme="majorHAnsi"/>
        </w:rPr>
        <w:t xml:space="preserve"> As atividades complementares da Guarda Civil Municipal podem ser direcionadas para a segurança e fiscalização dos bens públicos municipais</w:t>
      </w:r>
      <w:r w:rsidRPr="00D41093">
        <w:rPr>
          <w:rFonts w:asciiTheme="majorHAnsi" w:hAnsiTheme="majorHAnsi" w:cstheme="majorHAnsi"/>
        </w:rPr>
        <w:t xml:space="preserve">. </w:t>
      </w:r>
      <w:r w:rsidRPr="00D41093">
        <w:rPr>
          <w:rStyle w:val="citation-58"/>
          <w:rFonts w:asciiTheme="majorHAnsi" w:hAnsiTheme="majorHAnsi" w:cstheme="majorHAnsi"/>
        </w:rPr>
        <w:t>Isso inclui escolas, unidades de saúde, centros culturais, bibliotecas e praças de esportes, garantindo a integridade do patrimônio e a segurança dos frequentadores</w:t>
      </w:r>
      <w:r w:rsidRPr="00D41093">
        <w:rPr>
          <w:rFonts w:asciiTheme="majorHAnsi" w:hAnsiTheme="majorHAnsi" w:cstheme="majorHAnsi"/>
        </w:rPr>
        <w:t>.</w:t>
      </w:r>
    </w:p>
    <w:p w:rsidR="0020055B" w:rsidRPr="00D41093" w:rsidP="0020055B" w14:paraId="2475B0D3" w14:textId="77777777">
      <w:pPr>
        <w:pStyle w:val="NormalWeb"/>
        <w:numPr>
          <w:ilvl w:val="0"/>
          <w:numId w:val="33"/>
        </w:numPr>
        <w:rPr>
          <w:rFonts w:asciiTheme="majorHAnsi" w:hAnsiTheme="majorHAnsi" w:cstheme="majorHAnsi"/>
        </w:rPr>
      </w:pPr>
      <w:r w:rsidRPr="00D41093">
        <w:rPr>
          <w:rStyle w:val="citation-57"/>
          <w:rFonts w:asciiTheme="majorHAnsi" w:hAnsiTheme="majorHAnsi" w:cstheme="majorHAnsi"/>
          <w:b/>
          <w:bCs/>
        </w:rPr>
        <w:t>Segurança em Eventos:</w:t>
      </w:r>
      <w:r w:rsidRPr="00D41093">
        <w:rPr>
          <w:rStyle w:val="citation-57"/>
          <w:rFonts w:asciiTheme="majorHAnsi" w:hAnsiTheme="majorHAnsi" w:cstheme="majorHAnsi"/>
        </w:rPr>
        <w:t xml:space="preserve"> O mecanismo da DEAC permite o reforço da segurança em </w:t>
      </w:r>
      <w:r w:rsidRPr="00D41093">
        <w:rPr>
          <w:rStyle w:val="citation-57"/>
          <w:rFonts w:asciiTheme="majorHAnsi" w:hAnsiTheme="majorHAnsi" w:cstheme="majorHAnsi"/>
          <w:b/>
          <w:bCs/>
        </w:rPr>
        <w:t>eventos culturais, esportivos e educacionais</w:t>
      </w:r>
      <w:r w:rsidRPr="00D41093">
        <w:rPr>
          <w:rStyle w:val="citation-57"/>
          <w:rFonts w:asciiTheme="majorHAnsi" w:hAnsiTheme="majorHAnsi" w:cstheme="majorHAnsi"/>
        </w:rPr>
        <w:t xml:space="preserve"> promovidos pelo Município (feiras, campeonatos, festividades), que ocorrem frequentemente fora da jornada ordinária</w:t>
      </w:r>
      <w:r w:rsidRPr="00D41093">
        <w:rPr>
          <w:rFonts w:asciiTheme="majorHAnsi" w:hAnsiTheme="majorHAnsi" w:cstheme="majorHAnsi"/>
        </w:rPr>
        <w:t>. A presença reforçada das corporações garante a tranquilidade e a ordem, incentivando a participação da população nas políticas públicas dessas áreas.</w:t>
      </w:r>
    </w:p>
    <w:p w:rsidR="0020055B" w:rsidRPr="00D41093" w:rsidP="0020055B" w14:paraId="520D5BE7" w14:textId="77777777">
      <w:pPr>
        <w:pStyle w:val="NormalWeb"/>
        <w:rPr>
          <w:rFonts w:asciiTheme="majorHAnsi" w:hAnsiTheme="majorHAnsi" w:cstheme="majorHAnsi"/>
        </w:rPr>
      </w:pPr>
      <w:r w:rsidRPr="00D41093">
        <w:rPr>
          <w:rFonts w:asciiTheme="majorHAnsi" w:hAnsiTheme="majorHAnsi" w:cstheme="majorHAnsi"/>
          <w:b/>
          <w:bCs/>
        </w:rPr>
        <w:t>3. Aspectos Administrativos e Econômicos:</w:t>
      </w:r>
    </w:p>
    <w:p w:rsidR="0020055B" w:rsidRPr="00D41093" w:rsidP="0020055B" w14:paraId="658B912C" w14:textId="77777777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D41093">
        <w:rPr>
          <w:rStyle w:val="citation-56"/>
          <w:rFonts w:asciiTheme="majorHAnsi" w:hAnsiTheme="majorHAnsi" w:cstheme="majorHAnsi"/>
        </w:rPr>
        <w:t>O modelo da DEAC é considerado uma alternativa eficiente e economicamente viável</w:t>
      </w:r>
      <w:r w:rsidRPr="00D41093">
        <w:rPr>
          <w:rFonts w:asciiTheme="majorHAnsi" w:hAnsiTheme="majorHAnsi" w:cstheme="majorHAnsi"/>
        </w:rPr>
        <w:t xml:space="preserve">. </w:t>
      </w:r>
      <w:r w:rsidRPr="00D41093">
        <w:rPr>
          <w:rStyle w:val="citation-55"/>
          <w:rFonts w:asciiTheme="majorHAnsi" w:hAnsiTheme="majorHAnsi" w:cstheme="majorHAnsi"/>
        </w:rPr>
        <w:t>Ele permite o reforço da força de trabalho para demandas específicas sem a necessidade de ampliação permanente do quadro de servidores, promovendo a eficiência e a responsabilidade fiscal</w:t>
      </w:r>
      <w:r w:rsidRPr="00D41093">
        <w:rPr>
          <w:rFonts w:asciiTheme="majorHAnsi" w:hAnsiTheme="majorHAnsi" w:cstheme="majorHAnsi"/>
        </w:rPr>
        <w:t>.</w:t>
      </w:r>
    </w:p>
    <w:p w:rsidR="0020055B" w:rsidRPr="00D41093" w:rsidP="00B57514" w14:paraId="6D3F48CC" w14:textId="2D1D89C4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D41093">
        <w:rPr>
          <w:rStyle w:val="citation-54"/>
          <w:rFonts w:asciiTheme="majorHAnsi" w:hAnsiTheme="majorHAnsi" w:cstheme="majorHAnsi"/>
        </w:rPr>
        <w:t>As despesas serão custeadas por dotações orçamentárias próprias, podendo também ser utilizadas emendas impositivas ou recursos do Fundo Municipal de Segurança Pública (FUMSEG), o que resguarda o eq</w:t>
      </w:r>
      <w:r w:rsidR="00D41093">
        <w:rPr>
          <w:rStyle w:val="citation-54"/>
          <w:rFonts w:asciiTheme="majorHAnsi" w:hAnsiTheme="majorHAnsi" w:cstheme="majorHAnsi"/>
        </w:rPr>
        <w:t xml:space="preserve">uilíbrio financeiro do </w:t>
      </w:r>
      <w:r w:rsidR="00D41093">
        <w:rPr>
          <w:rStyle w:val="citation-54"/>
          <w:rFonts w:asciiTheme="majorHAnsi" w:hAnsiTheme="majorHAnsi" w:cstheme="majorHAnsi"/>
        </w:rPr>
        <w:t>Municípi</w:t>
      </w:r>
    </w:p>
    <w:p w:rsidR="00C829EC" w:rsidRPr="0020055B" w:rsidP="001728BA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0055B">
        <w:rPr>
          <w:rFonts w:asciiTheme="majorHAnsi" w:hAnsiTheme="majorHAnsi" w:cstheme="majorHAnsi"/>
          <w:b/>
        </w:rPr>
        <w:t>III -</w:t>
      </w:r>
      <w:r w:rsidRPr="0020055B">
        <w:rPr>
          <w:rFonts w:asciiTheme="majorHAnsi" w:hAnsiTheme="majorHAnsi" w:cstheme="majorHAnsi"/>
        </w:rPr>
        <w:t xml:space="preserve"> </w:t>
      </w:r>
      <w:r w:rsidRPr="0020055B">
        <w:rPr>
          <w:rFonts w:asciiTheme="majorHAnsi" w:hAnsiTheme="majorHAnsi" w:cstheme="majorHAnsi"/>
          <w:b/>
          <w:bCs/>
        </w:rPr>
        <w:t>OFERECIMENTO DE SUBSTITUTIVO, EMENDAS OU SUBEMENDAS</w:t>
      </w:r>
      <w:r w:rsidRPr="0020055B">
        <w:rPr>
          <w:rFonts w:asciiTheme="majorHAnsi" w:hAnsiTheme="majorHAnsi" w:cstheme="majorHAnsi"/>
        </w:rPr>
        <w:t xml:space="preserve"> </w:t>
      </w:r>
    </w:p>
    <w:p w:rsidR="001C3048" w:rsidRPr="0020055B" w:rsidP="001728BA" w14:paraId="3C47AF58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:rsidR="00B61EE5" w:rsidRPr="0020055B" w:rsidP="001728BA" w14:paraId="4F6565B6" w14:textId="0CBD743A">
      <w:pPr>
        <w:pStyle w:val="NormalWeb"/>
        <w:jc w:val="both"/>
        <w:rPr>
          <w:rFonts w:asciiTheme="majorHAnsi" w:hAnsiTheme="majorHAnsi" w:cstheme="majorHAnsi"/>
        </w:rPr>
      </w:pPr>
      <w:r w:rsidRPr="0020055B">
        <w:rPr>
          <w:rFonts w:asciiTheme="majorHAnsi" w:hAnsiTheme="majorHAnsi" w:cstheme="majorHAnsi"/>
        </w:rPr>
        <w:t>Após análise</w:t>
      </w:r>
      <w:r w:rsidRPr="0020055B" w:rsidR="00063E7D">
        <w:rPr>
          <w:rFonts w:asciiTheme="majorHAnsi" w:hAnsiTheme="majorHAnsi" w:cstheme="majorHAnsi"/>
        </w:rPr>
        <w:t xml:space="preserve"> detalhada do </w:t>
      </w:r>
      <w:r w:rsidRPr="0020055B" w:rsidR="00063E7D">
        <w:rPr>
          <w:rFonts w:asciiTheme="majorHAnsi" w:hAnsiTheme="majorHAnsi" w:cstheme="majorHAnsi"/>
          <w:b/>
        </w:rPr>
        <w:t>P</w:t>
      </w:r>
      <w:r w:rsidRPr="0020055B" w:rsidR="00DB75E8">
        <w:rPr>
          <w:rFonts w:asciiTheme="majorHAnsi" w:hAnsiTheme="majorHAnsi" w:cstheme="majorHAnsi"/>
          <w:b/>
        </w:rPr>
        <w:t>rojeto</w:t>
      </w:r>
      <w:r w:rsidRPr="0020055B">
        <w:rPr>
          <w:rFonts w:asciiTheme="majorHAnsi" w:hAnsiTheme="majorHAnsi" w:cstheme="majorHAnsi"/>
          <w:b/>
        </w:rPr>
        <w:t xml:space="preserve"> de</w:t>
      </w:r>
      <w:r w:rsidRPr="0020055B" w:rsidR="00063E7D">
        <w:rPr>
          <w:rFonts w:asciiTheme="majorHAnsi" w:hAnsiTheme="majorHAnsi" w:cstheme="majorHAnsi"/>
          <w:b/>
        </w:rPr>
        <w:t xml:space="preserve"> Le</w:t>
      </w:r>
      <w:r w:rsidR="0020055B">
        <w:rPr>
          <w:rFonts w:asciiTheme="majorHAnsi" w:hAnsiTheme="majorHAnsi" w:cstheme="majorHAnsi"/>
          <w:b/>
        </w:rPr>
        <w:t>i nº 170</w:t>
      </w:r>
      <w:r w:rsidRPr="0020055B" w:rsidR="00063E7D">
        <w:rPr>
          <w:rFonts w:asciiTheme="majorHAnsi" w:hAnsiTheme="majorHAnsi" w:cstheme="majorHAnsi"/>
          <w:b/>
        </w:rPr>
        <w:t>/2025</w:t>
      </w:r>
      <w:r w:rsidRPr="0020055B" w:rsidR="00DB75E8">
        <w:rPr>
          <w:rFonts w:asciiTheme="majorHAnsi" w:hAnsiTheme="majorHAnsi" w:cstheme="majorHAnsi"/>
        </w:rPr>
        <w:t xml:space="preserve"> apresentado</w:t>
      </w:r>
      <w:r w:rsidRPr="0020055B">
        <w:rPr>
          <w:rFonts w:asciiTheme="majorHAnsi" w:hAnsiTheme="majorHAnsi" w:cstheme="majorHAnsi"/>
        </w:rPr>
        <w:t xml:space="preserve">, esta </w:t>
      </w:r>
      <w:r w:rsidRPr="0020055B" w:rsidR="00063E7D">
        <w:rPr>
          <w:rFonts w:asciiTheme="majorHAnsi" w:hAnsiTheme="majorHAnsi" w:cstheme="majorHAnsi"/>
        </w:rPr>
        <w:t>Relatoria conclui que o projeto</w:t>
      </w:r>
      <w:r w:rsidRPr="0020055B">
        <w:rPr>
          <w:rFonts w:asciiTheme="majorHAnsi" w:hAnsiTheme="majorHAnsi" w:cstheme="majorHAnsi"/>
        </w:rPr>
        <w:t xml:space="preserve"> não exige a apresentação de </w:t>
      </w:r>
      <w:r w:rsidRPr="0020055B">
        <w:rPr>
          <w:rFonts w:asciiTheme="majorHAnsi" w:hAnsiTheme="majorHAnsi" w:cstheme="majorHAnsi"/>
          <w:b/>
        </w:rPr>
        <w:t>subst</w:t>
      </w:r>
      <w:r w:rsidRPr="0020055B" w:rsidR="00DB75E8">
        <w:rPr>
          <w:rFonts w:asciiTheme="majorHAnsi" w:hAnsiTheme="majorHAnsi" w:cstheme="majorHAnsi"/>
          <w:b/>
        </w:rPr>
        <w:t>itutivos, emendas ou subemendas</w:t>
      </w:r>
      <w:r w:rsidR="0020055B">
        <w:rPr>
          <w:rFonts w:asciiTheme="majorHAnsi" w:hAnsiTheme="majorHAnsi" w:cstheme="majorHAnsi"/>
        </w:rPr>
        <w:t>,</w:t>
      </w:r>
      <w:r w:rsidRPr="0020055B">
        <w:rPr>
          <w:rFonts w:asciiTheme="majorHAnsi" w:hAnsiTheme="majorHAnsi" w:cstheme="majorHAnsi"/>
        </w:rPr>
        <w:t xml:space="preserve"> o Projeto de Lei se encontra em condições ideais para deliberação, </w:t>
      </w:r>
      <w:r w:rsidRPr="0020055B">
        <w:rPr>
          <w:rFonts w:asciiTheme="majorHAnsi" w:hAnsiTheme="majorHAnsi" w:cstheme="majorHAnsi"/>
          <w:b/>
          <w:bCs/>
        </w:rPr>
        <w:t>não sendo necessária a apresentação de substitutivo, emendas ou subemendas adicionais</w:t>
      </w:r>
      <w:r w:rsidRPr="0020055B">
        <w:rPr>
          <w:rFonts w:asciiTheme="majorHAnsi" w:hAnsiTheme="majorHAnsi" w:cstheme="majorHAnsi"/>
        </w:rPr>
        <w:t xml:space="preserve"> por esta Comissão.</w:t>
      </w:r>
    </w:p>
    <w:p w:rsidR="001C3048" w:rsidRPr="0020055B" w:rsidP="001728BA" w14:paraId="5476D6BE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C829EC" w:rsidRPr="0020055B" w:rsidP="001728BA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20055B">
        <w:rPr>
          <w:rFonts w:asciiTheme="majorHAnsi" w:hAnsiTheme="majorHAnsi" w:cstheme="majorHAnsi"/>
          <w:b/>
          <w:bCs/>
        </w:rPr>
        <w:t>IV -  DECISÃO D</w:t>
      </w:r>
      <w:r w:rsidRPr="0020055B" w:rsidR="004A7437">
        <w:rPr>
          <w:rFonts w:asciiTheme="majorHAnsi" w:hAnsiTheme="majorHAnsi" w:cstheme="majorHAnsi"/>
          <w:b/>
          <w:bCs/>
        </w:rPr>
        <w:t>A COMISSÃO</w:t>
      </w:r>
    </w:p>
    <w:p w:rsidR="004A7437" w:rsidRPr="0020055B" w:rsidP="001728BA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20055B" w:rsidP="001728BA" w14:paraId="5FABA39D" w14:textId="1ED791D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20055B">
        <w:rPr>
          <w:rFonts w:asciiTheme="majorHAnsi" w:hAnsiTheme="majorHAnsi" w:cstheme="majorHAnsi"/>
        </w:rPr>
        <w:t xml:space="preserve">A Comissão de Saúde, Educação, Cultura, Esporte e Assistência Social aprova, por unanimidade, </w:t>
      </w:r>
      <w:r w:rsidRPr="0020055B" w:rsidR="00B61EE5">
        <w:rPr>
          <w:rFonts w:asciiTheme="majorHAnsi" w:hAnsiTheme="majorHAnsi" w:cstheme="majorHAnsi"/>
        </w:rPr>
        <w:t>o</w:t>
      </w:r>
      <w:r w:rsidR="0020055B">
        <w:rPr>
          <w:rFonts w:asciiTheme="majorHAnsi" w:hAnsiTheme="majorHAnsi" w:cstheme="majorHAnsi"/>
        </w:rPr>
        <w:t xml:space="preserve"> Projeto de Decreto de Lei nº 170</w:t>
      </w:r>
      <w:r w:rsidRPr="0020055B">
        <w:rPr>
          <w:rFonts w:asciiTheme="majorHAnsi" w:hAnsiTheme="majorHAnsi" w:cstheme="majorHAnsi"/>
        </w:rPr>
        <w:t xml:space="preserve">/2025, sem emendas, considerando-o </w:t>
      </w:r>
      <w:r w:rsidR="0020055B">
        <w:rPr>
          <w:rFonts w:asciiTheme="majorHAnsi" w:hAnsiTheme="majorHAnsi" w:cstheme="majorHAnsi"/>
          <w:b/>
          <w:bCs/>
        </w:rPr>
        <w:t xml:space="preserve">pertinente e de </w:t>
      </w:r>
      <w:r w:rsidRPr="0020055B">
        <w:rPr>
          <w:rFonts w:asciiTheme="majorHAnsi" w:hAnsiTheme="majorHAnsi" w:cstheme="majorHAnsi"/>
          <w:b/>
          <w:bCs/>
        </w:rPr>
        <w:t>relevância social</w:t>
      </w:r>
      <w:r w:rsidRPr="0020055B">
        <w:rPr>
          <w:rFonts w:asciiTheme="majorHAnsi" w:hAnsiTheme="majorHAnsi" w:cstheme="majorHAnsi"/>
        </w:rPr>
        <w:t xml:space="preserve"> para o município.</w:t>
      </w:r>
    </w:p>
    <w:p w:rsidR="00C829EC" w:rsidRPr="0020055B" w:rsidP="001728BA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105B00" w:rsidRPr="0020055B" w:rsidP="001728BA" w14:paraId="636E05C0" w14:textId="7E3D8629">
      <w:pPr>
        <w:pStyle w:val="NormalWeb"/>
        <w:spacing w:line="360" w:lineRule="auto"/>
        <w:jc w:val="both"/>
        <w:rPr>
          <w:rStyle w:val="Strong"/>
          <w:rFonts w:asciiTheme="majorHAnsi" w:hAnsiTheme="majorHAnsi" w:cstheme="majorHAnsi"/>
        </w:rPr>
      </w:pPr>
      <w:r w:rsidRPr="0020055B">
        <w:rPr>
          <w:rStyle w:val="Strong"/>
          <w:rFonts w:asciiTheme="majorHAnsi" w:hAnsiTheme="majorHAnsi" w:cstheme="majorHAnsi"/>
        </w:rPr>
        <w:t>SALA DAS SESSÕES</w:t>
      </w:r>
      <w:r w:rsidRPr="0020055B" w:rsidR="00B61EE5">
        <w:rPr>
          <w:rStyle w:val="Strong"/>
          <w:rFonts w:asciiTheme="majorHAnsi" w:hAnsiTheme="majorHAnsi" w:cstheme="majorHAnsi"/>
        </w:rPr>
        <w:t xml:space="preserve"> “VEREADOR SANTO RÓT</w:t>
      </w:r>
      <w:r w:rsidR="0020055B">
        <w:rPr>
          <w:rStyle w:val="Strong"/>
          <w:rFonts w:asciiTheme="majorHAnsi" w:hAnsiTheme="majorHAnsi" w:cstheme="majorHAnsi"/>
        </w:rPr>
        <w:t>TOLI”, em 10 de dezembro</w:t>
      </w:r>
      <w:r w:rsidRPr="0020055B">
        <w:rPr>
          <w:rStyle w:val="Strong"/>
          <w:rFonts w:asciiTheme="majorHAnsi" w:hAnsiTheme="majorHAnsi" w:cstheme="majorHAnsi"/>
        </w:rPr>
        <w:t xml:space="preserve"> de 2025.</w:t>
      </w:r>
    </w:p>
    <w:p w:rsidR="005B6271" w:rsidRPr="0020055B" w:rsidP="001728BA" w14:paraId="3E2245FE" w14:textId="49CF652F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 w:rsidRPr="0020055B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RPr="0020055B" w:rsidP="001728BA" w14:paraId="43E3F9FD" w14:textId="77777777">
      <w:pPr>
        <w:jc w:val="both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20055B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4879AB" w:rsidRPr="0020055B" w:rsidP="001728BA" w14:paraId="20A873F6" w14:textId="77777777">
      <w:pPr>
        <w:pStyle w:val="BodyText"/>
        <w:spacing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879AB" w:rsidRPr="0020055B" w:rsidP="001728BA" w14:paraId="797562B4" w14:textId="77777777">
      <w:pPr>
        <w:pStyle w:val="BodyText"/>
        <w:spacing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5B00" w:rsidP="001728BA" w14:paraId="25CBB975" w14:textId="083FE03E">
      <w:pPr>
        <w:pStyle w:val="Heading3"/>
        <w:spacing w:line="360" w:lineRule="auto"/>
        <w:jc w:val="both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20055B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20055B" w:rsidRPr="00D41093" w:rsidP="00D41093" w14:paraId="70CD64B6" w14:textId="16557F32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D41093">
        <w:t xml:space="preserve"> 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MOGI MIRIM (Município).</w:t>
      </w:r>
      <w:r w:rsidRPr="00D41093">
        <w:rPr>
          <w:rFonts w:asciiTheme="majorHAnsi" w:hAnsiTheme="majorHAnsi" w:cstheme="majorHAnsi"/>
          <w:sz w:val="22"/>
          <w:szCs w:val="22"/>
        </w:rPr>
        <w:t xml:space="preserve">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Projeto de Lei nº 170, de 2025.</w:t>
      </w:r>
      <w:r w:rsidRPr="00D41093">
        <w:rPr>
          <w:rFonts w:asciiTheme="majorHAnsi" w:hAnsiTheme="majorHAnsi" w:cstheme="majorHAnsi"/>
          <w:sz w:val="22"/>
          <w:szCs w:val="22"/>
        </w:rPr>
        <w:t xml:space="preserve"> Institui a Diária Especial por Atividade Complementar (DEAC) para os integrantes do quadro de servidores da Guarda Civil Municipal e do Bombeiro Municipal e dá outras providências.</w:t>
      </w:r>
    </w:p>
    <w:p w:rsidR="0020055B" w:rsidRPr="00D41093" w:rsidP="00D41093" w14:paraId="129D9288" w14:textId="68FD5BC1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D41093">
        <w:rPr>
          <w:rFonts w:asciiTheme="majorHAnsi" w:hAnsiTheme="majorHAnsi" w:cstheme="majorHAnsi"/>
          <w:sz w:val="22"/>
          <w:szCs w:val="22"/>
        </w:rPr>
        <w:t xml:space="preserve"> 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MOGI MIRIM (Município).</w:t>
      </w:r>
      <w:r w:rsidRPr="00D41093">
        <w:rPr>
          <w:rFonts w:asciiTheme="majorHAnsi" w:hAnsiTheme="majorHAnsi" w:cstheme="majorHAnsi"/>
          <w:sz w:val="22"/>
          <w:szCs w:val="22"/>
        </w:rPr>
        <w:t xml:space="preserve">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Mensagem nº 074, de 2025.</w:t>
      </w:r>
      <w:r w:rsidRPr="00D41093">
        <w:rPr>
          <w:rFonts w:asciiTheme="majorHAnsi" w:hAnsiTheme="majorHAnsi" w:cstheme="majorHAnsi"/>
          <w:sz w:val="22"/>
          <w:szCs w:val="22"/>
        </w:rPr>
        <w:t xml:space="preserve"> Encaminha o Projeto de Lei nº 170/2025 para apreciação da Câmara Municipal e apresenta a Justificativa da propositura.</w:t>
      </w:r>
    </w:p>
    <w:p w:rsidR="0020055B" w:rsidRPr="00D41093" w:rsidP="00D41093" w14:paraId="420B1AFC" w14:textId="5AB5FCF6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D41093">
        <w:rPr>
          <w:rFonts w:asciiTheme="majorHAnsi" w:hAnsiTheme="majorHAnsi" w:cstheme="majorHAnsi"/>
          <w:sz w:val="22"/>
          <w:szCs w:val="22"/>
        </w:rPr>
        <w:t xml:space="preserve"> 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MOGI MIRIM (Município).</w:t>
      </w:r>
      <w:r w:rsidRPr="00D41093">
        <w:rPr>
          <w:rFonts w:asciiTheme="majorHAnsi" w:hAnsiTheme="majorHAnsi" w:cstheme="majorHAnsi"/>
          <w:sz w:val="22"/>
          <w:szCs w:val="22"/>
        </w:rPr>
        <w:t xml:space="preserve"> Câmara Municipal. Comissão de Justiça e Redação e Comissão de Finanças e Orçamento.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Parecer sobre o Projeto de Lei nº 170/2025.</w:t>
      </w:r>
      <w:r w:rsidRPr="00D41093">
        <w:rPr>
          <w:rFonts w:asciiTheme="majorHAnsi" w:hAnsiTheme="majorHAnsi" w:cstheme="majorHAnsi"/>
          <w:sz w:val="22"/>
          <w:szCs w:val="22"/>
        </w:rPr>
        <w:t xml:space="preserve"> Relator: Vereador Wagner Ricardo Pereira.</w:t>
      </w:r>
    </w:p>
    <w:p w:rsidR="0020055B" w:rsidRPr="00D41093" w:rsidP="00D41093" w14:paraId="3F171C80" w14:textId="12B66141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D41093">
        <w:rPr>
          <w:rFonts w:asciiTheme="majorHAnsi" w:hAnsiTheme="majorHAnsi" w:cstheme="majorHAnsi"/>
          <w:sz w:val="22"/>
          <w:szCs w:val="22"/>
        </w:rPr>
        <w:t xml:space="preserve"> 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SGP SOLUÇÕES EM GESTÃO PÚBLICA.</w:t>
      </w:r>
      <w:r w:rsidRPr="00D41093">
        <w:rPr>
          <w:rFonts w:asciiTheme="majorHAnsi" w:hAnsiTheme="majorHAnsi" w:cstheme="majorHAnsi"/>
          <w:sz w:val="22"/>
          <w:szCs w:val="22"/>
        </w:rPr>
        <w:t xml:space="preserve">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CONSULTA/0724/2025/MN/G/DDR.</w:t>
      </w:r>
      <w:r w:rsidRPr="00D41093">
        <w:rPr>
          <w:rFonts w:asciiTheme="majorHAnsi" w:hAnsiTheme="majorHAnsi" w:cstheme="majorHAnsi"/>
          <w:sz w:val="22"/>
          <w:szCs w:val="22"/>
        </w:rPr>
        <w:t xml:space="preserve"> </w:t>
      </w:r>
      <w:r w:rsidRPr="00D41093">
        <w:rPr>
          <w:rFonts w:asciiTheme="majorHAnsi" w:hAnsiTheme="majorHAnsi" w:cstheme="majorHAnsi"/>
          <w:sz w:val="22"/>
          <w:szCs w:val="22"/>
        </w:rPr>
        <w:t>Parecer Jurídico</w:t>
      </w:r>
      <w:r w:rsidRPr="00D41093">
        <w:rPr>
          <w:rFonts w:asciiTheme="majorHAnsi" w:hAnsiTheme="majorHAnsi" w:cstheme="majorHAnsi"/>
          <w:sz w:val="22"/>
          <w:szCs w:val="22"/>
        </w:rPr>
        <w:t xml:space="preserve"> sobre a constitucionalidade e legalidade do Projeto de Lei n° 170/2025. São Paulo, 19 de novembro de 2025.</w:t>
      </w:r>
    </w:p>
    <w:p w:rsidR="0020055B" w:rsidRPr="00D41093" w:rsidP="00D41093" w14:paraId="74AD2400" w14:textId="79BDC610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D41093">
        <w:rPr>
          <w:rFonts w:asciiTheme="majorHAnsi" w:hAnsiTheme="majorHAnsi" w:cstheme="majorHAnsi"/>
          <w:sz w:val="22"/>
          <w:szCs w:val="22"/>
        </w:rPr>
        <w:t xml:space="preserve"> 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MOGI MIRIM (Município).</w:t>
      </w:r>
      <w:r w:rsidRPr="00D41093">
        <w:rPr>
          <w:rFonts w:asciiTheme="majorHAnsi" w:hAnsiTheme="majorHAnsi" w:cstheme="majorHAnsi"/>
          <w:sz w:val="22"/>
          <w:szCs w:val="22"/>
        </w:rPr>
        <w:t xml:space="preserve"> Câmara Municipal.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Ata da 25ª Reunião Conjunta das Comissões</w:t>
      </w:r>
      <w:r w:rsidRPr="00D41093">
        <w:rPr>
          <w:rFonts w:asciiTheme="majorHAnsi" w:hAnsiTheme="majorHAnsi" w:cstheme="majorHAnsi"/>
          <w:sz w:val="22"/>
          <w:szCs w:val="22"/>
        </w:rPr>
        <w:t xml:space="preserve"> (03 de dezembro de 2025).</w:t>
      </w:r>
    </w:p>
    <w:p w:rsidR="00C15958" w:rsidRPr="00D41093" w:rsidP="00D41093" w14:paraId="3C50796A" w14:textId="006450A6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D41093">
        <w:rPr>
          <w:rFonts w:asciiTheme="majorHAnsi" w:hAnsiTheme="majorHAnsi" w:cstheme="majorHAnsi"/>
          <w:sz w:val="22"/>
          <w:szCs w:val="22"/>
        </w:rPr>
        <w:t xml:space="preserve"> 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BRASIL.</w:t>
      </w:r>
      <w:r w:rsidRPr="00D41093">
        <w:rPr>
          <w:rFonts w:asciiTheme="majorHAnsi" w:hAnsiTheme="majorHAnsi" w:cstheme="majorHAnsi"/>
          <w:sz w:val="22"/>
          <w:szCs w:val="22"/>
        </w:rPr>
        <w:t xml:space="preserve">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Constituição da República Federativa do Brasil de 1988.</w:t>
      </w:r>
      <w:r w:rsidRPr="00D41093">
        <w:rPr>
          <w:rFonts w:asciiTheme="majorHAnsi" w:hAnsiTheme="majorHAnsi" w:cstheme="majorHAnsi"/>
          <w:sz w:val="22"/>
          <w:szCs w:val="22"/>
        </w:rPr>
        <w:t xml:space="preserve"> (Artigos que tratam de Finanças Públicas, Servidores Públicos e Segurança Pública).</w:t>
      </w:r>
    </w:p>
    <w:p w:rsidR="00C15958" w:rsidRPr="00D41093" w:rsidP="00D41093" w14:paraId="764EA907" w14:textId="23769519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D41093">
        <w:rPr>
          <w:rFonts w:asciiTheme="majorHAnsi" w:hAnsiTheme="majorHAnsi" w:cstheme="majorHAnsi"/>
          <w:sz w:val="22"/>
          <w:szCs w:val="22"/>
        </w:rPr>
        <w:t xml:space="preserve"> 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MOGI MIRIM (Município).</w:t>
      </w:r>
      <w:r w:rsidRPr="00D41093">
        <w:rPr>
          <w:rFonts w:asciiTheme="majorHAnsi" w:hAnsiTheme="majorHAnsi" w:cstheme="majorHAnsi"/>
          <w:sz w:val="22"/>
          <w:szCs w:val="22"/>
        </w:rPr>
        <w:t xml:space="preserve">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Lei Orgânica do Município de Mogi Mirim.</w:t>
      </w:r>
      <w:r w:rsidRPr="00D41093">
        <w:rPr>
          <w:rFonts w:asciiTheme="majorHAnsi" w:hAnsiTheme="majorHAnsi" w:cstheme="majorHAnsi"/>
          <w:sz w:val="22"/>
          <w:szCs w:val="22"/>
        </w:rPr>
        <w:t xml:space="preserve"> (Artigos que versam sobre competência legislativa e organização administrativa do Município).</w:t>
      </w:r>
    </w:p>
    <w:p w:rsidR="00C15958" w:rsidRPr="00D41093" w:rsidP="00D41093" w14:paraId="42B7635C" w14:textId="17429AAE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D41093">
        <w:rPr>
          <w:rFonts w:asciiTheme="majorHAnsi" w:hAnsiTheme="majorHAnsi" w:cstheme="majorHAnsi"/>
          <w:sz w:val="22"/>
          <w:szCs w:val="22"/>
        </w:rPr>
        <w:t xml:space="preserve"> 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BRASIL.</w:t>
      </w:r>
      <w:r w:rsidRPr="00D41093">
        <w:rPr>
          <w:rFonts w:asciiTheme="majorHAnsi" w:hAnsiTheme="majorHAnsi" w:cstheme="majorHAnsi"/>
          <w:sz w:val="22"/>
          <w:szCs w:val="22"/>
        </w:rPr>
        <w:t xml:space="preserve"> </w:t>
      </w:r>
      <w:r w:rsidRPr="00D41093">
        <w:rPr>
          <w:rFonts w:asciiTheme="majorHAnsi" w:hAnsiTheme="majorHAnsi" w:cstheme="majorHAnsi"/>
          <w:b/>
          <w:bCs/>
          <w:sz w:val="22"/>
          <w:szCs w:val="22"/>
        </w:rPr>
        <w:t>Lei nº 13.022, de 8 de agosto de 2014.</w:t>
      </w:r>
      <w:r w:rsidRPr="00D41093">
        <w:rPr>
          <w:rFonts w:asciiTheme="majorHAnsi" w:hAnsiTheme="majorHAnsi" w:cstheme="majorHAnsi"/>
          <w:sz w:val="22"/>
          <w:szCs w:val="22"/>
        </w:rPr>
        <w:t xml:space="preserve"> Dispõe sobre o Estatuto Geral das Guardas Municipais. (Referência para as atividades da Guarda Civil Municipal).</w:t>
      </w:r>
    </w:p>
    <w:p w:rsidR="00B57514" w:rsidRPr="00D41093" w:rsidP="00D41093" w14:paraId="2D1A4D1C" w14:textId="77777777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:rsidR="004374DD" w:rsidRPr="0020055B" w:rsidP="001728BA" w14:paraId="2F0E8B4B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:rsidR="001C3048" w:rsidRPr="0020055B" w:rsidP="001728BA" w14:paraId="19C25BB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20055B" w:rsidP="001728BA" w14:paraId="501B8DDB" w14:textId="51C3A87D">
      <w:pPr>
        <w:jc w:val="both"/>
        <w:rPr>
          <w:rFonts w:asciiTheme="majorHAnsi" w:hAnsiTheme="majorHAnsi" w:cstheme="majorHAnsi"/>
          <w:sz w:val="24"/>
          <w:szCs w:val="24"/>
        </w:rPr>
      </w:pPr>
      <w:r w:rsidRPr="0020055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PARECER </w:t>
      </w:r>
      <w:r w:rsidRPr="0020055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CONJUNTO </w:t>
      </w:r>
      <w:r w:rsidRPr="0020055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 w:rsidRPr="0020055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S COMISSÕES</w:t>
      </w:r>
      <w:r w:rsidRPr="0020055B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Pr="0020055B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 E FINANÇAS E ORÇAMENTO REFERENTE</w:t>
      </w:r>
      <w:r w:rsidRPr="0020055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</w:t>
      </w:r>
      <w:r w:rsidRPr="0020055B"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DE LEI</w:t>
      </w:r>
      <w:r w:rsidRPr="0020055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Nº</w:t>
      </w:r>
      <w:r w:rsidR="0020055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170 DE 2025 DE AUTORIA DO PODER EXECUTIVO</w:t>
      </w:r>
      <w:r w:rsidRPr="0020055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5B6271" w:rsidRPr="0020055B" w:rsidP="001728BA" w14:paraId="4C1DE4C6" w14:textId="34A803CF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20055B">
        <w:rPr>
          <w:rFonts w:asciiTheme="majorHAnsi" w:hAnsiTheme="majorHAnsi" w:cstheme="majorHAnsi"/>
          <w:iCs/>
          <w:color w:val="000000"/>
          <w:sz w:val="24"/>
          <w:szCs w:val="24"/>
        </w:rPr>
        <w:tab/>
        <w:t xml:space="preserve">Em estrita consonância com o voto proferido pelo eminente Relator e em comprimento ao </w:t>
      </w:r>
      <w:r w:rsidRPr="0020055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Pr="0020055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20055B" w:rsidR="00BF5F2C">
        <w:rPr>
          <w:rFonts w:asciiTheme="majorHAnsi" w:hAnsiTheme="majorHAnsi" w:cstheme="majorHAnsi"/>
          <w:iCs/>
          <w:color w:val="000000"/>
          <w:sz w:val="24"/>
          <w:szCs w:val="24"/>
        </w:rPr>
        <w:t>39</w:t>
      </w:r>
      <w:r w:rsidRPr="0020055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de</w:t>
      </w:r>
      <w:r w:rsidRPr="0020055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Comissão de Educação, Saúde, Cultura, Esporte e Assistência Social</w:t>
      </w:r>
      <w:r w:rsidRPr="0020055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20055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20055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20055B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20055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20055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20055B" w:rsidP="001728BA" w14:paraId="45C1F29B" w14:textId="147E590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20055B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="0020055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Comissão</w:t>
      </w:r>
      <w:r w:rsidRPr="0020055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 o Parecer </w:t>
      </w:r>
      <w:r w:rsidRPr="0020055B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20055B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20055B" w:rsidP="001728BA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RPr="0020055B" w:rsidP="001728BA" w14:paraId="56169DF7" w14:textId="49F68C6C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 w:rsidRPr="0020055B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20055B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Pr="0020055B" w:rsidR="004902E1">
        <w:rPr>
          <w:rFonts w:asciiTheme="majorHAnsi" w:hAnsiTheme="majorHAnsi" w:cstheme="majorHAnsi"/>
          <w:b/>
          <w:iCs/>
          <w:sz w:val="24"/>
          <w:szCs w:val="24"/>
        </w:rPr>
        <w:t>em 10</w:t>
      </w:r>
      <w:r w:rsidRPr="0020055B"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Pr="0020055B" w:rsidR="004902E1">
        <w:rPr>
          <w:rFonts w:asciiTheme="majorHAnsi" w:hAnsiTheme="majorHAnsi" w:cstheme="majorHAnsi"/>
          <w:b/>
          <w:iCs/>
          <w:sz w:val="24"/>
          <w:szCs w:val="24"/>
        </w:rPr>
        <w:t xml:space="preserve">de </w:t>
      </w:r>
      <w:r w:rsidR="0020055B">
        <w:rPr>
          <w:rFonts w:asciiTheme="majorHAnsi" w:hAnsiTheme="majorHAnsi" w:cstheme="majorHAnsi"/>
          <w:b/>
          <w:iCs/>
          <w:sz w:val="24"/>
          <w:szCs w:val="24"/>
        </w:rPr>
        <w:t>dezembro</w:t>
      </w:r>
      <w:r w:rsidRPr="0020055B">
        <w:rPr>
          <w:rFonts w:asciiTheme="majorHAnsi" w:hAnsiTheme="majorHAnsi" w:cstheme="majorHAnsi"/>
          <w:b/>
          <w:iCs/>
          <w:sz w:val="24"/>
          <w:szCs w:val="24"/>
        </w:rPr>
        <w:t xml:space="preserve"> de 2025</w:t>
      </w:r>
    </w:p>
    <w:p w:rsidR="00E80CA9" w:rsidRPr="0020055B" w:rsidP="001728BA" w14:paraId="577CF44D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20055B" w:rsidP="001728BA" w14:paraId="6FB51AB1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20055B" w:rsidP="001728BA" w14:paraId="11CDE7A6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20055B" w:rsidP="001728BA" w14:paraId="5E9E00D2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20055B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EDUCAÇÃO, SAÚDE, CULTURA, ESPORTE E ASSISTÊNCIA SOCIAL </w:t>
      </w:r>
    </w:p>
    <w:p w:rsidR="004374DD" w:rsidRPr="0020055B" w:rsidP="001728BA" w14:paraId="5C02860D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RPr="0020055B" w:rsidP="001728BA" w14:paraId="6E926861" w14:textId="77777777">
      <w:pPr>
        <w:pStyle w:val="NoSpacing"/>
        <w:jc w:val="both"/>
        <w:rPr>
          <w:rFonts w:asciiTheme="majorHAnsi" w:hAnsiTheme="majorHAnsi" w:cstheme="majorHAnsi"/>
          <w:i/>
          <w:sz w:val="24"/>
          <w:szCs w:val="24"/>
        </w:rPr>
      </w:pPr>
      <w:r w:rsidRPr="0020055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20055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20055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20055B" w:rsidP="001728BA" w14:paraId="01BB4741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0055B">
        <w:rPr>
          <w:rFonts w:asciiTheme="majorHAnsi" w:hAnsiTheme="majorHAnsi" w:cstheme="majorHAnsi"/>
          <w:b/>
          <w:sz w:val="24"/>
          <w:szCs w:val="24"/>
        </w:rPr>
        <w:t>VEREADOR ERNANI LUIZ DONATTI GRAGNANELLO</w:t>
      </w:r>
    </w:p>
    <w:p w:rsidR="00E80CA9" w:rsidRPr="0020055B" w:rsidP="001728BA" w14:paraId="08A93F64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20055B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RPr="0020055B" w:rsidP="001728BA" w14:paraId="5FF18A56" w14:textId="77777777">
      <w:pPr>
        <w:pStyle w:val="NoSpacing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20055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20055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20055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20055B" w:rsidP="001728BA" w14:paraId="62659580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0055B">
        <w:rPr>
          <w:rFonts w:asciiTheme="majorHAnsi" w:hAnsiTheme="majorHAnsi" w:cstheme="majorHAnsi"/>
          <w:b/>
          <w:sz w:val="24"/>
          <w:szCs w:val="24"/>
        </w:rPr>
        <w:t>VEREADOR EVERTON BOMBARDA</w:t>
      </w:r>
    </w:p>
    <w:p w:rsidR="00E80CA9" w:rsidRPr="0020055B" w:rsidP="001728BA" w14:paraId="67F24541" w14:textId="6E25344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20055B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20055B" w:rsidP="001728BA" w14:paraId="5457BDF5" w14:textId="77777777">
      <w:pPr>
        <w:pStyle w:val="NoSpacing"/>
        <w:jc w:val="both"/>
        <w:rPr>
          <w:rFonts w:asciiTheme="majorHAnsi" w:hAnsiTheme="majorHAnsi" w:cstheme="majorHAnsi"/>
          <w:i/>
          <w:sz w:val="24"/>
          <w:szCs w:val="24"/>
        </w:rPr>
      </w:pPr>
      <w:r w:rsidRPr="0020055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20055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20055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20055B" w:rsidP="001728BA" w14:paraId="451F36B2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0055B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E80CA9" w:rsidRPr="0020055B" w:rsidP="001728BA" w14:paraId="59822A92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20055B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RPr="0020055B" w:rsidP="001728BA" w14:paraId="71A8100F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20055B" w:rsidP="001728BA" w14:paraId="74BD3121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20055B" w:rsidP="001728BA" w14:paraId="1912B2D5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20055B" w:rsidP="001728BA" w14:paraId="7D6341F5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F069F9" w:rsidRPr="0020055B" w:rsidP="0020055B" w14:paraId="48247790" w14:textId="4B4F4862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0055B">
        <w:rPr>
          <w:rFonts w:asciiTheme="majorHAnsi" w:hAnsiTheme="majorHAnsi" w:cstheme="majorHAnsi"/>
          <w:bCs/>
          <w:i/>
          <w:sz w:val="24"/>
          <w:szCs w:val="24"/>
        </w:rPr>
        <w:t xml:space="preserve"> </w:t>
      </w:r>
    </w:p>
    <w:sectPr w:rsidSect="00103727">
      <w:headerReference w:type="even" r:id="rId5"/>
      <w:headerReference w:type="default" r:id="rId6"/>
      <w:footerReference w:type="default" r:id="rId7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61942659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401B2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2B1B1F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871D16"/>
    <w:multiLevelType w:val="multilevel"/>
    <w:tmpl w:val="1974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E4650A"/>
    <w:multiLevelType w:val="multilevel"/>
    <w:tmpl w:val="EE5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F36F9A"/>
    <w:multiLevelType w:val="multilevel"/>
    <w:tmpl w:val="56F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7B2D93"/>
    <w:multiLevelType w:val="multilevel"/>
    <w:tmpl w:val="1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922338"/>
    <w:multiLevelType w:val="multilevel"/>
    <w:tmpl w:val="AAB4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927D2B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9">
    <w:nsid w:val="6E5F0424"/>
    <w:multiLevelType w:val="multilevel"/>
    <w:tmpl w:val="F3E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E66D35"/>
    <w:multiLevelType w:val="multilevel"/>
    <w:tmpl w:val="D8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8B79C8"/>
    <w:multiLevelType w:val="multilevel"/>
    <w:tmpl w:val="5E24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AD6ED0"/>
    <w:multiLevelType w:val="multilevel"/>
    <w:tmpl w:val="F57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12"/>
  </w:num>
  <w:num w:numId="5">
    <w:abstractNumId w:val="27"/>
  </w:num>
  <w:num w:numId="6">
    <w:abstractNumId w:val="31"/>
  </w:num>
  <w:num w:numId="7">
    <w:abstractNumId w:val="5"/>
  </w:num>
  <w:num w:numId="8">
    <w:abstractNumId w:val="14"/>
  </w:num>
  <w:num w:numId="9">
    <w:abstractNumId w:val="10"/>
  </w:num>
  <w:num w:numId="10">
    <w:abstractNumId w:val="8"/>
  </w:num>
  <w:num w:numId="11">
    <w:abstractNumId w:val="7"/>
  </w:num>
  <w:num w:numId="12">
    <w:abstractNumId w:val="18"/>
  </w:num>
  <w:num w:numId="13">
    <w:abstractNumId w:val="0"/>
  </w:num>
  <w:num w:numId="14">
    <w:abstractNumId w:val="4"/>
  </w:num>
  <w:num w:numId="15">
    <w:abstractNumId w:val="24"/>
  </w:num>
  <w:num w:numId="16">
    <w:abstractNumId w:val="22"/>
  </w:num>
  <w:num w:numId="17">
    <w:abstractNumId w:val="9"/>
  </w:num>
  <w:num w:numId="18">
    <w:abstractNumId w:val="16"/>
  </w:num>
  <w:num w:numId="19">
    <w:abstractNumId w:val="28"/>
  </w:num>
  <w:num w:numId="20">
    <w:abstractNumId w:val="1"/>
  </w:num>
  <w:num w:numId="21">
    <w:abstractNumId w:val="23"/>
  </w:num>
  <w:num w:numId="22">
    <w:abstractNumId w:val="3"/>
  </w:num>
  <w:num w:numId="23">
    <w:abstractNumId w:val="20"/>
  </w:num>
  <w:num w:numId="24">
    <w:abstractNumId w:val="21"/>
  </w:num>
  <w:num w:numId="25">
    <w:abstractNumId w:val="30"/>
  </w:num>
  <w:num w:numId="26">
    <w:abstractNumId w:val="29"/>
  </w:num>
  <w:num w:numId="27">
    <w:abstractNumId w:val="6"/>
  </w:num>
  <w:num w:numId="28">
    <w:abstractNumId w:val="15"/>
  </w:num>
  <w:num w:numId="29">
    <w:abstractNumId w:val="26"/>
  </w:num>
  <w:num w:numId="30">
    <w:abstractNumId w:val="11"/>
  </w:num>
  <w:num w:numId="31">
    <w:abstractNumId w:val="33"/>
  </w:num>
  <w:num w:numId="32">
    <w:abstractNumId w:val="19"/>
  </w:num>
  <w:num w:numId="33">
    <w:abstractNumId w:val="2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E80"/>
    <w:rsid w:val="00044245"/>
    <w:rsid w:val="000472EF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63F50"/>
    <w:rsid w:val="001650C5"/>
    <w:rsid w:val="001721C9"/>
    <w:rsid w:val="001728BA"/>
    <w:rsid w:val="00173831"/>
    <w:rsid w:val="00177254"/>
    <w:rsid w:val="00177D08"/>
    <w:rsid w:val="00181506"/>
    <w:rsid w:val="00187FC6"/>
    <w:rsid w:val="00192536"/>
    <w:rsid w:val="0019515C"/>
    <w:rsid w:val="001A045C"/>
    <w:rsid w:val="001A23DA"/>
    <w:rsid w:val="001A3CE4"/>
    <w:rsid w:val="001A6144"/>
    <w:rsid w:val="001A7AAC"/>
    <w:rsid w:val="001B7303"/>
    <w:rsid w:val="001C3048"/>
    <w:rsid w:val="001D58BD"/>
    <w:rsid w:val="001F0F81"/>
    <w:rsid w:val="0020055B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D45A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374DD"/>
    <w:rsid w:val="00442938"/>
    <w:rsid w:val="00446FA1"/>
    <w:rsid w:val="00456770"/>
    <w:rsid w:val="00464667"/>
    <w:rsid w:val="00480C81"/>
    <w:rsid w:val="004827D3"/>
    <w:rsid w:val="004879AB"/>
    <w:rsid w:val="004902E1"/>
    <w:rsid w:val="00495711"/>
    <w:rsid w:val="00496963"/>
    <w:rsid w:val="00497A43"/>
    <w:rsid w:val="004A7437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00D"/>
    <w:rsid w:val="0055078E"/>
    <w:rsid w:val="005559D9"/>
    <w:rsid w:val="0055728D"/>
    <w:rsid w:val="00561AA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3747"/>
    <w:rsid w:val="00617393"/>
    <w:rsid w:val="00620972"/>
    <w:rsid w:val="00644857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D20E0"/>
    <w:rsid w:val="006E3A0E"/>
    <w:rsid w:val="006F48DD"/>
    <w:rsid w:val="00700836"/>
    <w:rsid w:val="007038AD"/>
    <w:rsid w:val="0071111B"/>
    <w:rsid w:val="007118E3"/>
    <w:rsid w:val="00735423"/>
    <w:rsid w:val="00746224"/>
    <w:rsid w:val="00753ABE"/>
    <w:rsid w:val="007556D8"/>
    <w:rsid w:val="00773AD7"/>
    <w:rsid w:val="00780139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572E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2EE1"/>
    <w:rsid w:val="009048A2"/>
    <w:rsid w:val="00904ADF"/>
    <w:rsid w:val="009109A3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13198"/>
    <w:rsid w:val="00B57090"/>
    <w:rsid w:val="00B57514"/>
    <w:rsid w:val="00B61EE5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516E"/>
    <w:rsid w:val="00C10154"/>
    <w:rsid w:val="00C15958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CF7EAF"/>
    <w:rsid w:val="00D0581B"/>
    <w:rsid w:val="00D15456"/>
    <w:rsid w:val="00D17E31"/>
    <w:rsid w:val="00D233F3"/>
    <w:rsid w:val="00D33D19"/>
    <w:rsid w:val="00D41093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E2A9A"/>
    <w:rsid w:val="00DE7BE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655D1"/>
    <w:rsid w:val="00F7241A"/>
    <w:rsid w:val="00F733EC"/>
    <w:rsid w:val="00F74441"/>
    <w:rsid w:val="00F80A2B"/>
    <w:rsid w:val="00F83282"/>
    <w:rsid w:val="00F91A1F"/>
    <w:rsid w:val="00F921DB"/>
    <w:rsid w:val="00F9588D"/>
    <w:rsid w:val="00FA65BC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paragraph" w:styleId="NoSpacing">
    <w:name w:val="No Spacing"/>
    <w:uiPriority w:val="1"/>
    <w:qFormat/>
    <w:rsid w:val="00617393"/>
  </w:style>
  <w:style w:type="character" w:customStyle="1" w:styleId="citation-71">
    <w:name w:val="citation-71"/>
    <w:basedOn w:val="DefaultParagraphFont"/>
    <w:rsid w:val="0020055B"/>
  </w:style>
  <w:style w:type="character" w:customStyle="1" w:styleId="citation-70">
    <w:name w:val="citation-70"/>
    <w:basedOn w:val="DefaultParagraphFont"/>
    <w:rsid w:val="0020055B"/>
  </w:style>
  <w:style w:type="character" w:customStyle="1" w:styleId="citation-69">
    <w:name w:val="citation-69"/>
    <w:basedOn w:val="DefaultParagraphFont"/>
    <w:rsid w:val="0020055B"/>
  </w:style>
  <w:style w:type="character" w:customStyle="1" w:styleId="citation-68">
    <w:name w:val="citation-68"/>
    <w:basedOn w:val="DefaultParagraphFont"/>
    <w:rsid w:val="0020055B"/>
  </w:style>
  <w:style w:type="character" w:customStyle="1" w:styleId="citation-67">
    <w:name w:val="citation-67"/>
    <w:basedOn w:val="DefaultParagraphFont"/>
    <w:rsid w:val="0020055B"/>
  </w:style>
  <w:style w:type="character" w:customStyle="1" w:styleId="citation-66">
    <w:name w:val="citation-66"/>
    <w:basedOn w:val="DefaultParagraphFont"/>
    <w:rsid w:val="0020055B"/>
  </w:style>
  <w:style w:type="character" w:customStyle="1" w:styleId="citation-65">
    <w:name w:val="citation-65"/>
    <w:basedOn w:val="DefaultParagraphFont"/>
    <w:rsid w:val="0020055B"/>
  </w:style>
  <w:style w:type="character" w:customStyle="1" w:styleId="citation-64">
    <w:name w:val="citation-64"/>
    <w:basedOn w:val="DefaultParagraphFont"/>
    <w:rsid w:val="0020055B"/>
  </w:style>
  <w:style w:type="character" w:customStyle="1" w:styleId="citation-63">
    <w:name w:val="citation-63"/>
    <w:basedOn w:val="DefaultParagraphFont"/>
    <w:rsid w:val="0020055B"/>
  </w:style>
  <w:style w:type="character" w:customStyle="1" w:styleId="citation-62">
    <w:name w:val="citation-62"/>
    <w:basedOn w:val="DefaultParagraphFont"/>
    <w:rsid w:val="0020055B"/>
  </w:style>
  <w:style w:type="character" w:customStyle="1" w:styleId="citation-61">
    <w:name w:val="citation-61"/>
    <w:basedOn w:val="DefaultParagraphFont"/>
    <w:rsid w:val="0020055B"/>
  </w:style>
  <w:style w:type="character" w:customStyle="1" w:styleId="citation-60">
    <w:name w:val="citation-60"/>
    <w:basedOn w:val="DefaultParagraphFont"/>
    <w:rsid w:val="0020055B"/>
  </w:style>
  <w:style w:type="character" w:customStyle="1" w:styleId="citation-59">
    <w:name w:val="citation-59"/>
    <w:basedOn w:val="DefaultParagraphFont"/>
    <w:rsid w:val="0020055B"/>
  </w:style>
  <w:style w:type="character" w:customStyle="1" w:styleId="citation-58">
    <w:name w:val="citation-58"/>
    <w:basedOn w:val="DefaultParagraphFont"/>
    <w:rsid w:val="0020055B"/>
  </w:style>
  <w:style w:type="character" w:customStyle="1" w:styleId="citation-57">
    <w:name w:val="citation-57"/>
    <w:basedOn w:val="DefaultParagraphFont"/>
    <w:rsid w:val="0020055B"/>
  </w:style>
  <w:style w:type="character" w:customStyle="1" w:styleId="citation-56">
    <w:name w:val="citation-56"/>
    <w:basedOn w:val="DefaultParagraphFont"/>
    <w:rsid w:val="0020055B"/>
  </w:style>
  <w:style w:type="character" w:customStyle="1" w:styleId="citation-55">
    <w:name w:val="citation-55"/>
    <w:basedOn w:val="DefaultParagraphFont"/>
    <w:rsid w:val="0020055B"/>
  </w:style>
  <w:style w:type="character" w:customStyle="1" w:styleId="citation-54">
    <w:name w:val="citation-54"/>
    <w:basedOn w:val="DefaultParagraphFont"/>
    <w:rsid w:val="0020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2E47-1DB8-450E-81D5-3680044F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1165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3</cp:revision>
  <cp:lastPrinted>2025-11-10T19:58:00Z</cp:lastPrinted>
  <dcterms:created xsi:type="dcterms:W3CDTF">2025-12-10T19:58:00Z</dcterms:created>
  <dcterms:modified xsi:type="dcterms:W3CDTF">2025-12-11T12:00:00Z</dcterms:modified>
</cp:coreProperties>
</file>