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6B8EEB9B">
      <w:pPr>
        <w:pStyle w:val="NormalWeb"/>
        <w:spacing w:line="360" w:lineRule="auto"/>
      </w:pPr>
      <w:r w:rsidRPr="002A0A87">
        <w:rPr>
          <w:rStyle w:val="Strong"/>
        </w:rPr>
        <w:t xml:space="preserve">PROJETO DE </w:t>
      </w:r>
      <w:r w:rsidRPr="002A0A87" w:rsidR="00AA3B6E">
        <w:rPr>
          <w:rStyle w:val="Strong"/>
        </w:rPr>
        <w:t xml:space="preserve">LEI </w:t>
      </w:r>
      <w:r w:rsidR="00D500BC">
        <w:rPr>
          <w:rStyle w:val="Strong"/>
        </w:rPr>
        <w:t>COMPLEMENTAR Nº 26</w:t>
      </w:r>
      <w:r w:rsidRPr="002A0A87" w:rsidR="00F74441">
        <w:rPr>
          <w:rStyle w:val="Strong"/>
        </w:rPr>
        <w:t xml:space="preserve"> DE 2025</w:t>
      </w:r>
      <w:r w:rsidR="00D500BC">
        <w:rPr>
          <w:rStyle w:val="Strong"/>
        </w:rPr>
        <w:t xml:space="preserve"> – Poder Executivo</w:t>
      </w:r>
    </w:p>
    <w:p w:rsidR="00D500BC" w:rsidP="006853EB" w14:paraId="1EF21DEF" w14:textId="33621299">
      <w:pPr>
        <w:pStyle w:val="NormalWeb"/>
        <w:spacing w:line="360" w:lineRule="auto"/>
        <w:jc w:val="both"/>
        <w:rPr>
          <w:rStyle w:val="Emphasis"/>
        </w:rPr>
      </w:pPr>
      <w:r>
        <w:rPr>
          <w:rStyle w:val="Emphasis"/>
        </w:rPr>
        <w:t xml:space="preserve">Regulamenta o Art. 165 da Lei Orgânica do Município de Mogi Mirim, e dá outras providências. </w:t>
      </w:r>
    </w:p>
    <w:p w:rsidR="00F74441" w:rsidRPr="002A0A87" w:rsidP="003D6D21" w14:paraId="1D42C3C2" w14:textId="64F17A6A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P="003D6D21" w14:paraId="3FFB2217" w14:textId="78EB8909">
      <w:pPr>
        <w:pStyle w:val="NormalWeb"/>
        <w:spacing w:line="360" w:lineRule="auto"/>
        <w:jc w:val="both"/>
        <w:rPr>
          <w:rStyle w:val="Strong"/>
          <w:i/>
        </w:rPr>
      </w:pPr>
      <w:r w:rsidRPr="002A0A87">
        <w:tab/>
      </w:r>
      <w:r w:rsidRPr="002A0A87">
        <w:t>O Projeto de Lei</w:t>
      </w:r>
      <w:r w:rsidR="00D500BC">
        <w:t xml:space="preserve"> Complementar nº 26</w:t>
      </w:r>
      <w:r w:rsidR="00595E79">
        <w:t xml:space="preserve"> de 2025, de autoria</w:t>
      </w:r>
      <w:r w:rsidRPr="00CD0899" w:rsidR="00CD0899">
        <w:t xml:space="preserve"> </w:t>
      </w:r>
      <w:r w:rsidRPr="002A0A87" w:rsidR="00CD0899">
        <w:t>do Prefeito Municipal Paulo de Oliveira e Silva</w:t>
      </w:r>
      <w:r w:rsidRPr="002A0A87" w:rsidR="005D21C6">
        <w:t xml:space="preserve">, tem por objetivo </w:t>
      </w:r>
      <w:r w:rsidR="00381BB4">
        <w:rPr>
          <w:rStyle w:val="Strong"/>
          <w:i/>
        </w:rPr>
        <w:t xml:space="preserve">regulamentar o Art. 165 da Lei Orgânica do Município de Mogi Mirim. </w:t>
      </w:r>
    </w:p>
    <w:p w:rsidR="00381BB4" w:rsidP="003D6D21" w14:paraId="6A77D7B5" w14:textId="59C38A26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i/>
        </w:rPr>
        <w:tab/>
      </w:r>
      <w:r>
        <w:rPr>
          <w:rStyle w:val="Strong"/>
          <w:b w:val="0"/>
        </w:rPr>
        <w:t>O artigo 1°</w:t>
      </w:r>
      <w:r w:rsidR="00D842AA">
        <w:rPr>
          <w:rStyle w:val="Strong"/>
          <w:b w:val="0"/>
        </w:rPr>
        <w:t xml:space="preserve"> define que o apoio à produção agrícola, previsto no art. 165 da Lei Orgânica, será executado através do </w:t>
      </w:r>
      <w:r w:rsidR="0072322C">
        <w:rPr>
          <w:rStyle w:val="Strong"/>
          <w:b w:val="0"/>
        </w:rPr>
        <w:t>“</w:t>
      </w:r>
      <w:r w:rsidR="00D842AA">
        <w:rPr>
          <w:rStyle w:val="Strong"/>
          <w:b w:val="0"/>
        </w:rPr>
        <w:t>Programa Patrulha Agrícola</w:t>
      </w:r>
      <w:r w:rsidR="0072322C">
        <w:rPr>
          <w:rStyle w:val="Strong"/>
          <w:b w:val="0"/>
        </w:rPr>
        <w:t>”</w:t>
      </w:r>
      <w:r w:rsidR="00D842AA">
        <w:rPr>
          <w:rStyle w:val="Strong"/>
          <w:b w:val="0"/>
        </w:rPr>
        <w:t xml:space="preserve">, estabelecendo que todos os equipamentos agrícolas pertencentes ao Município, adquiridos, recebidos ou doados serão incorporados automaticamente ao programa e utilizados exclusivamente para esta finalidade. </w:t>
      </w:r>
    </w:p>
    <w:p w:rsidR="00D842AA" w:rsidP="003D6D21" w14:paraId="41E1A7B6" w14:textId="45945639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 xml:space="preserve">O artigo 2° estabelece os critérios para quem pode solicitar e utilizar os equipamentos da Patrulha Agrícola. Limita o atendimento a propriedades rurais dentro do município com até </w:t>
      </w:r>
      <w:r w:rsidR="00C44A9F">
        <w:rPr>
          <w:rStyle w:val="Strong"/>
          <w:b w:val="0"/>
        </w:rPr>
        <w:t>25 hectares (trator + implemento) ou 50 hectares (implementos isolados). Também impõe condições como: produção ativa, cadastro no Instituto Nacional de Colonização e Reforma Agrária (INCRA), nota fiscal de produtor e ausência de equipamentos compatíveis próprios. Juntamente regula o caso específico de assentamentos da reforma agrária, exigindo legalização dos assentados.</w:t>
      </w:r>
    </w:p>
    <w:p w:rsidR="00C44A9F" w:rsidP="003D6D21" w14:paraId="66BCA89D" w14:textId="268EB8B0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 xml:space="preserve">O artigo 3º dispõe sobre as exigências para aprovação da solicitação, condicionada à análise técnica da Secretaria de Agricultura. O solicitante deve especificar o serviço, o tempo </w:t>
      </w:r>
      <w:r>
        <w:rPr>
          <w:rStyle w:val="Strong"/>
          <w:b w:val="0"/>
        </w:rPr>
        <w:t xml:space="preserve">de uso e utilizar equipamentos compatíveis com os tratores disponíveis. Os serviços serão limitados ao que foi solicitado e aprovado. </w:t>
      </w:r>
    </w:p>
    <w:p w:rsidR="00C44A9F" w:rsidP="003D6D21" w14:paraId="4C4FF48E" w14:textId="4D5EE514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O artigo 4° regula a prorrogação do tempo de uso dos equipamentos, permitindo-a somente em situações justificadas: quebra, impossibilidade do operador, pedido justifica</w:t>
      </w:r>
      <w:r w:rsidR="0072322C">
        <w:rPr>
          <w:rStyle w:val="Strong"/>
          <w:b w:val="0"/>
        </w:rPr>
        <w:t>do do solicitante ou outras razõ</w:t>
      </w:r>
      <w:r>
        <w:rPr>
          <w:rStyle w:val="Strong"/>
          <w:b w:val="0"/>
        </w:rPr>
        <w:t xml:space="preserve">es aceitas pela equipe técnica. Atribui ao corpo técnico da Secretaria </w:t>
      </w:r>
      <w:r w:rsidR="0072322C">
        <w:rPr>
          <w:rStyle w:val="Strong"/>
          <w:b w:val="0"/>
        </w:rPr>
        <w:t xml:space="preserve">de Agricultura </w:t>
      </w:r>
      <w:r>
        <w:rPr>
          <w:rStyle w:val="Strong"/>
          <w:b w:val="0"/>
        </w:rPr>
        <w:t xml:space="preserve">a definição do novo prazo. </w:t>
      </w:r>
    </w:p>
    <w:p w:rsidR="00C44A9F" w:rsidP="003D6D21" w14:paraId="2305D29B" w14:textId="403E1A2E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</w:r>
      <w:r w:rsidR="00B16011">
        <w:rPr>
          <w:rStyle w:val="Strong"/>
          <w:b w:val="0"/>
        </w:rPr>
        <w:t xml:space="preserve">O artigo 5° define as responsabilidades da Secretaria de Agricultura, incluindo análise e aprovação dos serviços, disponibilização de operador qualificado, transporte do operador, manutenção dos equipamentos, guarda segura das máquinas, contratação de seguro, fiscalização e registro digital de todas as solicitações via Sistema Eletrônico de Informações (SEI). Os parágrafos estabelecem que somente operadores municipais podem conduzir tratores e que, em caso de não devolução, a Secretaria poderá registrar boletim de ocorrência além de aplicar multas. </w:t>
      </w:r>
    </w:p>
    <w:p w:rsidR="00B16011" w:rsidP="003D6D21" w14:paraId="6181914F" w14:textId="04126A64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O artigo 6º estabelece</w:t>
      </w:r>
      <w:r>
        <w:rPr>
          <w:rStyle w:val="Strong"/>
          <w:b w:val="0"/>
        </w:rPr>
        <w:t xml:space="preserve"> as obrigaçõ</w:t>
      </w:r>
      <w:r>
        <w:rPr>
          <w:rStyle w:val="Strong"/>
          <w:b w:val="0"/>
        </w:rPr>
        <w:t>es dos operadores da Prefeitura tais como:</w:t>
      </w:r>
      <w:r>
        <w:rPr>
          <w:rStyle w:val="Strong"/>
          <w:b w:val="0"/>
        </w:rPr>
        <w:t xml:space="preserve"> conservação diária dos equipamentos, preenchimento de relatórios de us</w:t>
      </w:r>
      <w:r w:rsidR="00F07A74">
        <w:rPr>
          <w:rStyle w:val="Strong"/>
          <w:b w:val="0"/>
        </w:rPr>
        <w:t>o, observância das normas de trâ</w:t>
      </w:r>
      <w:r>
        <w:rPr>
          <w:rStyle w:val="Strong"/>
          <w:b w:val="0"/>
        </w:rPr>
        <w:t xml:space="preserve">nsito e execução apenas de serviços previamente aprovados. </w:t>
      </w:r>
    </w:p>
    <w:p w:rsidR="00B16011" w:rsidP="003D6D21" w14:paraId="46B8042A" w14:textId="5E270D8A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 xml:space="preserve">O artigo 7º </w:t>
      </w:r>
      <w:r w:rsidR="00F424B1">
        <w:rPr>
          <w:rStyle w:val="Strong"/>
          <w:b w:val="0"/>
        </w:rPr>
        <w:t>dispõe sobre as responsabilidades do solicitante, como: zelar pelos equipamentos, realizar limpeza após o uso, abastecer o trator às suas expensas, e devolver os equipamentos na data prevista. E a possibilidade de prorrogação do prazo</w:t>
      </w:r>
      <w:r w:rsidR="0072322C">
        <w:rPr>
          <w:rStyle w:val="Strong"/>
          <w:b w:val="0"/>
        </w:rPr>
        <w:t xml:space="preserve"> de restituição</w:t>
      </w:r>
      <w:r w:rsidR="00F424B1">
        <w:rPr>
          <w:rStyle w:val="Strong"/>
          <w:b w:val="0"/>
        </w:rPr>
        <w:t xml:space="preserve">, conforme art. 4° da Lei Complementar. </w:t>
      </w:r>
    </w:p>
    <w:p w:rsidR="00C0242A" w:rsidP="003D6D21" w14:paraId="3931DDA8" w14:textId="2E8BD676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O artigo 8º estabelece que os custos de transporte dos equipamentos por terceiros serão integralmente pagos pelo solicitante.</w:t>
      </w:r>
    </w:p>
    <w:p w:rsidR="00C0242A" w:rsidP="003D6D21" w14:paraId="45AF2A02" w14:textId="7ABC7534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O artigo 9° veda o uso dos equipamentos por quem não adota práticas conservacionistas do solo, evitando danos ambientais.</w:t>
      </w:r>
    </w:p>
    <w:p w:rsidR="00C0242A" w:rsidP="003D6D21" w14:paraId="2AE93B29" w14:textId="685857D6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 </w:t>
      </w:r>
      <w:r>
        <w:rPr>
          <w:rStyle w:val="Strong"/>
          <w:b w:val="0"/>
        </w:rPr>
        <w:tab/>
        <w:t>O artigo 10</w:t>
      </w:r>
      <w:r>
        <w:rPr>
          <w:rStyle w:val="Strong"/>
          <w:b w:val="0"/>
        </w:rPr>
        <w:t xml:space="preserve"> proíbe a atuação da Patrulha Agrícola em áreas de preservação permanente ou áreas restritas sem autorização ambiental. Juntamente, estabelece que a responsabilidade por autorizações, danos e eventuais multas é exclusivamente do solicitante. </w:t>
      </w:r>
    </w:p>
    <w:p w:rsidR="00C0242A" w:rsidP="003D6D21" w14:paraId="6123BD5C" w14:textId="38E17AC5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O artigo 11</w:t>
      </w:r>
      <w:r>
        <w:rPr>
          <w:rStyle w:val="Strong"/>
          <w:b w:val="0"/>
        </w:rPr>
        <w:t xml:space="preserve"> proíbe o uso dos equipamentos para tratos em citricultura, prevenindo disseminação de doenças agrícolas. </w:t>
      </w:r>
    </w:p>
    <w:p w:rsidR="00C0242A" w:rsidP="003D6D21" w14:paraId="191F62AF" w14:textId="677F6DEE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O artigo 12</w:t>
      </w:r>
      <w:r>
        <w:rPr>
          <w:rStyle w:val="Strong"/>
          <w:b w:val="0"/>
        </w:rPr>
        <w:t xml:space="preserve"> veda o uso dos equipamentos em local diverso daquele aprovado pela Secretaria. </w:t>
      </w:r>
    </w:p>
    <w:p w:rsidR="00C0242A" w:rsidP="003D6D21" w14:paraId="269E834C" w14:textId="59B33AAF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 xml:space="preserve">O </w:t>
      </w:r>
      <w:r w:rsidR="0072322C">
        <w:rPr>
          <w:rStyle w:val="Strong"/>
          <w:b w:val="0"/>
        </w:rPr>
        <w:t>artigo 13</w:t>
      </w:r>
      <w:r w:rsidR="00610BA3">
        <w:rPr>
          <w:rStyle w:val="Strong"/>
          <w:b w:val="0"/>
        </w:rPr>
        <w:t xml:space="preserve"> proíbe o solicitante de emprestar os equipamentos a terceiros, mesmo que a propriedade seja vizinha ou contígua.</w:t>
      </w:r>
    </w:p>
    <w:p w:rsidR="00610BA3" w:rsidP="003D6D21" w14:paraId="06D5A456" w14:textId="4ECA15B7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O artigo 14</w:t>
      </w:r>
      <w:r>
        <w:rPr>
          <w:rStyle w:val="Strong"/>
          <w:b w:val="0"/>
        </w:rPr>
        <w:t xml:space="preserve"> regulamenta o abastecimento, proibindo abastecimento em galões e determinando que apenas a equipe técnica pode abastecer no local do serviço. Também proíbe operadores e servidores de receberem valores para realizar abastecimento.</w:t>
      </w:r>
    </w:p>
    <w:p w:rsidR="00610BA3" w:rsidP="003D6D21" w14:paraId="4F2DE513" w14:textId="59543F07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 </w:t>
      </w:r>
      <w:r>
        <w:rPr>
          <w:rStyle w:val="Strong"/>
          <w:b w:val="0"/>
        </w:rPr>
        <w:tab/>
        <w:t>O artigo 15</w:t>
      </w:r>
      <w:r>
        <w:rPr>
          <w:rStyle w:val="Strong"/>
          <w:b w:val="0"/>
        </w:rPr>
        <w:t xml:space="preserve"> dispõe que o descumprimento das regras de abastecimento será apu</w:t>
      </w:r>
      <w:r>
        <w:rPr>
          <w:rStyle w:val="Strong"/>
          <w:b w:val="0"/>
        </w:rPr>
        <w:t>rado por processo disciplinar e</w:t>
      </w:r>
      <w:r>
        <w:rPr>
          <w:rStyle w:val="Strong"/>
          <w:b w:val="0"/>
        </w:rPr>
        <w:t xml:space="preserve"> na forma da Lei.</w:t>
      </w:r>
    </w:p>
    <w:p w:rsidR="00610BA3" w:rsidP="003D6D21" w14:paraId="6E34E41E" w14:textId="1D115ACE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O artigo 16</w:t>
      </w:r>
      <w:r>
        <w:rPr>
          <w:rStyle w:val="Strong"/>
          <w:b w:val="0"/>
        </w:rPr>
        <w:t xml:space="preserve"> autoriza o abastecimento no local somente pela equipe técnica e determina que o solicitante deve indicar o posto, acompanhar e pagar pelo combustível diretamente ao fornecedor. </w:t>
      </w:r>
    </w:p>
    <w:p w:rsidR="00610BA3" w:rsidP="003D6D21" w14:paraId="36C25968" w14:textId="3A7E7FB0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O artigo 17 estabelece</w:t>
      </w:r>
      <w:r>
        <w:rPr>
          <w:rStyle w:val="Strong"/>
          <w:b w:val="0"/>
        </w:rPr>
        <w:t xml:space="preserve"> os requisitos formais para lavratura do Auto de Infração e Notificação, como identificação do infrator, descrição da infração, dispositivo violado, assin</w:t>
      </w:r>
      <w:r>
        <w:rPr>
          <w:rStyle w:val="Strong"/>
          <w:b w:val="0"/>
        </w:rPr>
        <w:t>atura e determinação das providê</w:t>
      </w:r>
      <w:r>
        <w:rPr>
          <w:rStyle w:val="Strong"/>
          <w:b w:val="0"/>
        </w:rPr>
        <w:t>ncias. Os demais parágrafos tratam da recusa de assinatura, das irregularidades formais e da ausência de confissão.</w:t>
      </w:r>
    </w:p>
    <w:p w:rsidR="00610BA3" w:rsidP="003D6D21" w14:paraId="3C255794" w14:textId="6572ABE8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O ar</w:t>
      </w:r>
      <w:r w:rsidR="0072322C">
        <w:rPr>
          <w:rStyle w:val="Strong"/>
          <w:b w:val="0"/>
        </w:rPr>
        <w:t>tigo 18</w:t>
      </w:r>
      <w:r>
        <w:rPr>
          <w:rStyle w:val="Strong"/>
          <w:b w:val="0"/>
        </w:rPr>
        <w:t xml:space="preserve"> regula as formas alternativas de intimação, como carta com aviso de recebimento ou edital, quando não houver assinatura do autuado no ato.</w:t>
      </w:r>
    </w:p>
    <w:p w:rsidR="00610BA3" w:rsidP="00610BA3" w14:paraId="664987BF" w14:textId="21F54DCB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O artigo 19</w:t>
      </w:r>
      <w:r>
        <w:rPr>
          <w:rStyle w:val="Strong"/>
          <w:b w:val="0"/>
        </w:rPr>
        <w:t xml:space="preserve"> </w:t>
      </w:r>
      <w:r w:rsidR="001118B9">
        <w:rPr>
          <w:rStyle w:val="Strong"/>
          <w:b w:val="0"/>
        </w:rPr>
        <w:t xml:space="preserve">determina que </w:t>
      </w:r>
      <w:r>
        <w:rPr>
          <w:rStyle w:val="Strong"/>
          <w:b w:val="0"/>
        </w:rPr>
        <w:t xml:space="preserve">as </w:t>
      </w:r>
      <w:r w:rsidR="001118B9">
        <w:rPr>
          <w:rStyle w:val="Strong"/>
          <w:b w:val="0"/>
        </w:rPr>
        <w:t xml:space="preserve">infrações relacionadas aos </w:t>
      </w:r>
      <w:r w:rsidR="001118B9">
        <w:rPr>
          <w:rStyle w:val="Strong"/>
          <w:b w:val="0"/>
        </w:rPr>
        <w:t>arts</w:t>
      </w:r>
      <w:r w:rsidR="001118B9">
        <w:rPr>
          <w:rStyle w:val="Strong"/>
          <w:b w:val="0"/>
        </w:rPr>
        <w:t>. 9° a 13 resultam na lavratura imediata do Auto de Infração e Imposição de Multa, além da suspensão do direito de uso por 180 dias.</w:t>
      </w:r>
    </w:p>
    <w:p w:rsidR="001118B9" w:rsidP="001118B9" w14:paraId="03B29F84" w14:textId="4F180AD6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O artigo 20 especifica que o Auto</w:t>
      </w:r>
      <w:r>
        <w:rPr>
          <w:rStyle w:val="Strong"/>
          <w:b w:val="0"/>
        </w:rPr>
        <w:t xml:space="preserve"> de </w:t>
      </w:r>
      <w:r>
        <w:rPr>
          <w:rStyle w:val="Strong"/>
          <w:b w:val="0"/>
        </w:rPr>
        <w:t xml:space="preserve">Infração e Imposição de </w:t>
      </w:r>
      <w:r>
        <w:rPr>
          <w:rStyle w:val="Strong"/>
          <w:b w:val="0"/>
        </w:rPr>
        <w:t>Multa devem seguir as re</w:t>
      </w:r>
      <w:r>
        <w:rPr>
          <w:rStyle w:val="Strong"/>
          <w:b w:val="0"/>
        </w:rPr>
        <w:t xml:space="preserve">gras dos </w:t>
      </w:r>
      <w:r>
        <w:rPr>
          <w:rStyle w:val="Strong"/>
          <w:b w:val="0"/>
        </w:rPr>
        <w:t>arts</w:t>
      </w:r>
      <w:r>
        <w:rPr>
          <w:rStyle w:val="Strong"/>
          <w:b w:val="0"/>
        </w:rPr>
        <w:t>. 17 e 18 da propositura</w:t>
      </w:r>
      <w:r>
        <w:rPr>
          <w:rStyle w:val="Strong"/>
          <w:b w:val="0"/>
        </w:rPr>
        <w:t>.</w:t>
      </w:r>
    </w:p>
    <w:p w:rsidR="001118B9" w:rsidP="001118B9" w14:paraId="25DE2BA4" w14:textId="7592738C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O artigo 21</w:t>
      </w:r>
      <w:r>
        <w:rPr>
          <w:rStyle w:val="Strong"/>
          <w:b w:val="0"/>
        </w:rPr>
        <w:t xml:space="preserve"> estabelece que, não sendo possível entregar o Auto ao autuado, aplica-se o procedimento do art. 18.</w:t>
      </w:r>
    </w:p>
    <w:p w:rsidR="001118B9" w:rsidP="001118B9" w14:paraId="2DC42E90" w14:textId="3B7EA927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O artigo 22</w:t>
      </w:r>
      <w:r>
        <w:rPr>
          <w:rStyle w:val="Strong"/>
          <w:b w:val="0"/>
        </w:rPr>
        <w:t xml:space="preserve"> define que o pagamento das multas deve ocorrer em 20 dias, prazo no qual cabe impugnação. </w:t>
      </w:r>
    </w:p>
    <w:p w:rsidR="001118B9" w:rsidP="0072322C" w14:paraId="4670E907" w14:textId="51883ACB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O artigo 23</w:t>
      </w:r>
      <w:r>
        <w:rPr>
          <w:rStyle w:val="Strong"/>
          <w:b w:val="0"/>
        </w:rPr>
        <w:t xml:space="preserve"> </w:t>
      </w:r>
      <w:r>
        <w:rPr>
          <w:rStyle w:val="Strong"/>
          <w:b w:val="0"/>
        </w:rPr>
        <w:t>estabelece que n</w:t>
      </w:r>
      <w:r w:rsidRPr="0072322C">
        <w:rPr>
          <w:rStyle w:val="Strong"/>
          <w:b w:val="0"/>
        </w:rPr>
        <w:t>os casos de im</w:t>
      </w:r>
      <w:r>
        <w:rPr>
          <w:rStyle w:val="Strong"/>
          <w:b w:val="0"/>
        </w:rPr>
        <w:t xml:space="preserve">pugnações, recursos e decisões </w:t>
      </w:r>
      <w:r w:rsidRPr="0072322C">
        <w:rPr>
          <w:rStyle w:val="Strong"/>
          <w:b w:val="0"/>
        </w:rPr>
        <w:t>serão obedecidos os ditames da Lei Municipal nº 1.431 de</w:t>
      </w:r>
      <w:r>
        <w:rPr>
          <w:rStyle w:val="Strong"/>
          <w:b w:val="0"/>
        </w:rPr>
        <w:t xml:space="preserve"> 23 de dezembro de 1983 (Código </w:t>
      </w:r>
      <w:r w:rsidRPr="0072322C">
        <w:rPr>
          <w:rStyle w:val="Strong"/>
          <w:b w:val="0"/>
        </w:rPr>
        <w:t>Tributário do Município de Mogi Mirim).</w:t>
      </w:r>
    </w:p>
    <w:p w:rsidR="001118B9" w:rsidP="006100F3" w14:paraId="1898669D" w14:textId="1BB489F1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O artigo 24</w:t>
      </w:r>
      <w:r w:rsidR="006100F3">
        <w:rPr>
          <w:rStyle w:val="Strong"/>
          <w:b w:val="0"/>
        </w:rPr>
        <w:t xml:space="preserve"> consolida de maneira sistematizada todas as infrações e respectivas penalidades aplicáveis no âmbito do Programa Patrulha Agrícola. Ele funciona como um quadro central da norma, estabelecendo consequência direta e objetiva para cada conduta irregular praticada pelo solicitante ou usuário, garantindo segurança jurídica, proporcionalidade e eficiência na fiscalização.</w:t>
      </w:r>
    </w:p>
    <w:p w:rsidR="006100F3" w:rsidP="006100F3" w14:paraId="0334698C" w14:textId="7D216BC9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O artigo 25</w:t>
      </w:r>
      <w:r>
        <w:rPr>
          <w:rStyle w:val="Strong"/>
          <w:b w:val="0"/>
        </w:rPr>
        <w:t xml:space="preserve"> estabelece que os valores das multas serão corrigidos anualmente pelo Índice de Preços ao Consumidor Amplo (IPCA).</w:t>
      </w:r>
    </w:p>
    <w:p w:rsidR="006100F3" w:rsidP="006100F3" w14:paraId="5C08584F" w14:textId="22954B70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O artigo 26</w:t>
      </w:r>
      <w:r>
        <w:rPr>
          <w:rStyle w:val="Strong"/>
          <w:b w:val="0"/>
        </w:rPr>
        <w:t xml:space="preserve"> determina que as receitas das multas serão destinadas ao Fundo Municipal de Desenvolvimento Rural, ou em sua ausência outro indicado pela Secretaria de Agricultura.</w:t>
      </w:r>
    </w:p>
    <w:p w:rsidR="006100F3" w:rsidP="006100F3" w14:paraId="734BA400" w14:textId="2A0FE8B3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O artigo 27</w:t>
      </w:r>
      <w:r>
        <w:rPr>
          <w:rStyle w:val="Strong"/>
          <w:b w:val="0"/>
        </w:rPr>
        <w:t xml:space="preserve"> estabelece que despesas decorrentes da lei serão suportadas por dotações orçamentárias próprias, podendo ser suplementadas. </w:t>
      </w:r>
    </w:p>
    <w:p w:rsidR="006100F3" w:rsidP="006100F3" w14:paraId="745773CF" w14:textId="34E2887E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O artigo 28</w:t>
      </w:r>
      <w:r>
        <w:rPr>
          <w:rStyle w:val="Strong"/>
          <w:b w:val="0"/>
        </w:rPr>
        <w:t xml:space="preserve"> determina a vigência imediata da lei a partir de sua publicação. </w:t>
      </w:r>
    </w:p>
    <w:p w:rsidR="006100F3" w:rsidP="006100F3" w14:paraId="662D46F5" w14:textId="63E39B8C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>
        <w:t>Por último</w:t>
      </w:r>
      <w:r w:rsidR="00A42C0E">
        <w:rPr>
          <w:rStyle w:val="Strong"/>
          <w:b w:val="0"/>
        </w:rPr>
        <w:t xml:space="preserve">, o </w:t>
      </w:r>
      <w:r w:rsidR="0072322C">
        <w:rPr>
          <w:rStyle w:val="Strong"/>
          <w:b w:val="0"/>
        </w:rPr>
        <w:t>artigo 29</w:t>
      </w:r>
      <w:r>
        <w:rPr>
          <w:rStyle w:val="Strong"/>
          <w:b w:val="0"/>
        </w:rPr>
        <w:t xml:space="preserve"> revoga expressamente a Lei Complementar n° 307/2015</w:t>
      </w:r>
      <w:r w:rsidR="00A42C0E">
        <w:rPr>
          <w:rStyle w:val="Strong"/>
          <w:b w:val="0"/>
        </w:rPr>
        <w:t xml:space="preserve">. </w:t>
      </w:r>
    </w:p>
    <w:p w:rsidR="0072322C" w:rsidRPr="007728E4" w:rsidP="0072322C" w14:paraId="69EBB317" w14:textId="08B6AE08">
      <w:pPr>
        <w:pStyle w:val="NormalWeb"/>
        <w:spacing w:line="360" w:lineRule="auto"/>
        <w:ind w:firstLine="720"/>
        <w:jc w:val="both"/>
      </w:pPr>
      <w:r w:rsidRPr="007728E4">
        <w:t xml:space="preserve">O projeto de lei veio instruído com </w:t>
      </w:r>
      <w:r>
        <w:t>a justificativa da Secretaria de Agricultura (fls.13)</w:t>
      </w:r>
      <w:r w:rsidR="00561815">
        <w:t xml:space="preserve">; </w:t>
      </w:r>
      <w:r w:rsidR="00F07A74">
        <w:t xml:space="preserve">de cópia </w:t>
      </w:r>
      <w:r w:rsidR="00561815">
        <w:t xml:space="preserve">da Lei Complementar n° 307/2015 (fls.14/15), do parecer jurídico favorável da Secretaria </w:t>
      </w:r>
      <w:r w:rsidR="00F07A74">
        <w:t xml:space="preserve">de Negócios Jurídicos (fls.17) e </w:t>
      </w:r>
      <w:r>
        <w:t>Certidão de Não I</w:t>
      </w:r>
      <w:r w:rsidR="00561815">
        <w:t>mpacto Orçamentário (fls. 18).</w:t>
      </w:r>
    </w:p>
    <w:p w:rsidR="0072322C" w:rsidP="006100F3" w14:paraId="0F2718B6" w14:textId="77777777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</w:p>
    <w:p w:rsidR="00382F0D" w:rsidP="00A42C0E" w14:paraId="699A1864" w14:textId="73F36970">
      <w:pPr>
        <w:pStyle w:val="NormalWeb"/>
        <w:spacing w:line="360" w:lineRule="auto"/>
        <w:ind w:firstLine="720"/>
        <w:jc w:val="both"/>
      </w:pPr>
      <w:r>
        <w:t>A</w:t>
      </w:r>
      <w:r w:rsidR="00A42C0E">
        <w:t xml:space="preserve"> exposição de motivos e os documentos técnicos encaminhados pela Secretaria de Agricultura enfatizam que o projeto corrige distorções verificadas na legislação vigente, fortalece o poder de fiscalização e garante maior controle e transparência sobre o uso dos bens públicos. A atualização busca corrigir distorções verificadas na utilização de máquinas e equipamentos, estabelecer mecanismos de fiscalização, permitir a lavratura de autos de infração e de imposição de multa, além de possibilitar medidas administrativas e judiciais em casos de descumprimento da legislação. </w:t>
      </w:r>
    </w:p>
    <w:p w:rsidR="006707A1" w:rsidRPr="006707A1" w:rsidP="006707A1" w14:paraId="5C20EA11" w14:textId="794AD2DE">
      <w:pPr>
        <w:pStyle w:val="NormalWeb"/>
        <w:spacing w:line="360" w:lineRule="auto"/>
        <w:ind w:firstLine="720"/>
        <w:jc w:val="both"/>
      </w:pPr>
      <w:r w:rsidRPr="002A0A87">
        <w:t>Por fim, na Mensagem</w:t>
      </w:r>
      <w:r>
        <w:t xml:space="preserve"> n°067</w:t>
      </w:r>
      <w:r w:rsidRPr="002A0A87">
        <w:t xml:space="preserve">/2025 encaminhada ressalta </w:t>
      </w:r>
      <w:r>
        <w:t xml:space="preserve">que a presente iniciativa decorre da necessidade de organizar, disciplinar e ampliar o apoio prestado pelo Poder Público aos produtores rurais, especialmente os de pequeno e médio porte, que desempenham </w:t>
      </w:r>
      <w:r w:rsidR="00450020">
        <w:t xml:space="preserve">um papel </w:t>
      </w:r>
      <w:r>
        <w:t xml:space="preserve">essencial na geração de empregos, na produção de alimentos e no abastecimento do mercado local. 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4F40FD69">
      <w:pPr>
        <w:pStyle w:val="NormalWeb"/>
        <w:spacing w:line="360" w:lineRule="auto"/>
        <w:ind w:firstLine="720"/>
        <w:jc w:val="both"/>
      </w:pPr>
      <w:r w:rsidRPr="002A0A87">
        <w:t>O Proj</w:t>
      </w:r>
      <w:r w:rsidRPr="002A0A87" w:rsidR="007B2789">
        <w:t>eto de Lei</w:t>
      </w:r>
      <w:r w:rsidR="00CD0899">
        <w:t xml:space="preserve"> Complementar nº 26</w:t>
      </w:r>
      <w:r w:rsidRPr="002A0A87">
        <w:t xml:space="preserve"> de 2025 </w:t>
      </w:r>
      <w:r w:rsidR="00CD0899">
        <w:t xml:space="preserve">de autoria do </w:t>
      </w:r>
      <w:r w:rsidRPr="002A0A87" w:rsidR="00CD0899">
        <w:t>Prefeito Municipal Paulo de Oliveira e Silva</w:t>
      </w:r>
      <w:r w:rsidR="00382F0D">
        <w:t>,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CD0899" w:rsidP="00561815" w14:paraId="43AB2DE9" w14:textId="1617C205">
      <w:pPr>
        <w:pStyle w:val="NormalWeb"/>
        <w:spacing w:line="360" w:lineRule="auto"/>
        <w:ind w:firstLine="720"/>
        <w:jc w:val="both"/>
      </w:pPr>
      <w:r>
        <w:t>A iniciativa é legítima, uma vez que compete ao Poder Executivo propor leis que tratem da organização, funcionamento e execução de serviços públicos, conforme dispõe o art. 30,</w:t>
      </w:r>
      <w:r w:rsidR="004B4D5B">
        <w:t xml:space="preserve"> I e II da Constituição Federal.</w:t>
      </w:r>
      <w:r w:rsidR="00561815">
        <w:t xml:space="preserve"> </w:t>
      </w:r>
      <w:r>
        <w:t>A matéria insere-se no âmbito das competências administrativas próprias do Município, especialmente no que se refere ao desenvolvimento rural, gestão de bens públicos, fiscalização, manutenção de equipamentos municipais e controle de políticas públicas locais inexistindo qualquer invasão à competência da União ou do Estado</w:t>
      </w:r>
      <w:r w:rsidR="001A496B">
        <w:t xml:space="preserve">. </w:t>
      </w:r>
    </w:p>
    <w:p w:rsidR="00561815" w:rsidP="00561815" w14:paraId="19541BB7" w14:textId="3F67C6A2">
      <w:pPr>
        <w:pStyle w:val="NormalWeb"/>
        <w:spacing w:line="360" w:lineRule="auto"/>
        <w:ind w:firstLine="720"/>
        <w:jc w:val="both"/>
      </w:pPr>
      <w:r>
        <w:t>No exercício de sua competência complementar o Município editou o art. 165 da Lei Orgânica do Município de Mogi Mirim, que dispõe sobre o dever do Poder Público. Assim sendo, o artigo 165 da LOM confere autorização normativa local suficiente para a regulamentação proposta pela propositura em questão.</w:t>
      </w:r>
    </w:p>
    <w:p w:rsidR="00561815" w:rsidP="00561815" w14:paraId="287B004A" w14:textId="1BD2998B">
      <w:pPr>
        <w:pStyle w:val="NormalWeb"/>
        <w:spacing w:line="360" w:lineRule="auto"/>
        <w:ind w:firstLine="720"/>
        <w:jc w:val="both"/>
      </w:pPr>
      <w:r>
        <w:t>O objeto do projeto, ao versar sobre apoio ao pequeno produtor rural, uso de bens públicos municipais e organização administrativa da Secretaria de Agricultura, insere-se nitidamente no âmbito do interesse local, conforme pacífica jurisprudência do STF: "</w:t>
      </w:r>
      <w:r w:rsidRPr="00561815">
        <w:rPr>
          <w:i/>
        </w:rPr>
        <w:t>É da competência dos Municípios legislar sobre o uso de bens públicos municipais, inclusive máquinas e equipamentos destinados à coletividade, desde que respeitados os princípios constitucionais</w:t>
      </w:r>
      <w:r>
        <w:t>."</w:t>
      </w:r>
    </w:p>
    <w:p w:rsidR="001A496B" w:rsidP="007B2789" w14:paraId="6CE0A30B" w14:textId="0B0ED479">
      <w:pPr>
        <w:pStyle w:val="NormalWeb"/>
        <w:spacing w:line="360" w:lineRule="auto"/>
        <w:ind w:firstLine="720"/>
        <w:jc w:val="both"/>
      </w:pPr>
      <w:r>
        <w:t xml:space="preserve">O texto da lei observa os princípios constitucionais da </w:t>
      </w:r>
      <w:r w:rsidR="006F2D77">
        <w:t xml:space="preserve">Administração Pública (art. 37, </w:t>
      </w:r>
      <w:r w:rsidRPr="00F07A74" w:rsidR="006F2D77">
        <w:rPr>
          <w:i/>
        </w:rPr>
        <w:t>caput</w:t>
      </w:r>
      <w:r w:rsidR="006F2D77">
        <w:t xml:space="preserve">, </w:t>
      </w:r>
      <w:r>
        <w:t xml:space="preserve">CF), destacando legalidade, eficiência, moralidade, finalidade e economicidade, uma vez que estabelece mecanismos específicos para controle, fiscalização, registro digital, responsabilização e preservação do patrimônio público. </w:t>
      </w:r>
    </w:p>
    <w:p w:rsidR="001A496B" w:rsidP="007B2789" w14:paraId="4AC19243" w14:textId="07A3A81B">
      <w:pPr>
        <w:pStyle w:val="NormalWeb"/>
        <w:spacing w:line="360" w:lineRule="auto"/>
        <w:ind w:firstLine="720"/>
        <w:jc w:val="both"/>
      </w:pPr>
      <w:r>
        <w:t xml:space="preserve">No </w:t>
      </w:r>
      <w:r>
        <w:t xml:space="preserve">aspecto formal, o projeto mantém coerência com os parâmetros de técnica legislativa, apresentando o objeto determinado, linguagem clara, sistemática coerente e adequada integração com o ordenamento jurídico municipal. A remissão expressa ao Código Tributário Municipal (Lei n° 1.431/1983) para tratamento dos procedimentos de </w:t>
      </w:r>
      <w:r w:rsidR="00F07A74">
        <w:t>impugnação e recurso, reforça</w:t>
      </w:r>
      <w:r>
        <w:t xml:space="preserve"> a segurança jurídica e o devido processo administrativo, garantindo contraditório e ampla defesa. </w:t>
      </w:r>
    </w:p>
    <w:p w:rsidR="002A0B40" w:rsidP="007B2789" w14:paraId="397E40C3" w14:textId="790E9D16">
      <w:pPr>
        <w:pStyle w:val="NormalWeb"/>
        <w:spacing w:line="360" w:lineRule="auto"/>
        <w:ind w:firstLine="720"/>
        <w:jc w:val="both"/>
      </w:pPr>
      <w:r>
        <w:t>Quanto ao aspecto financeiro, não há impacto orçamentário permanente. Conforme a manifestação da área técnica de Planejamento, o Programa já está previsto nas ações e dotações existentes, não havendo criação de despesa</w:t>
      </w:r>
      <w:r w:rsidR="004B4D5B">
        <w:t>s</w:t>
      </w:r>
      <w:r>
        <w:t xml:space="preserve"> nova</w:t>
      </w:r>
      <w:r w:rsidR="004B4D5B">
        <w:t>s</w:t>
      </w:r>
      <w:r>
        <w:t xml:space="preserve"> que implique violação à Lei de Responsabilidade Fiscal, atende</w:t>
      </w:r>
      <w:r w:rsidR="001874E0">
        <w:t xml:space="preserve">ndo aos </w:t>
      </w:r>
      <w:r w:rsidR="001874E0">
        <w:t>arts</w:t>
      </w:r>
      <w:r w:rsidR="001874E0">
        <w:t>. 15,16 e 17.</w:t>
      </w:r>
    </w:p>
    <w:p w:rsidR="002A0B40" w:rsidP="007B2789" w14:paraId="6D3FD8AE" w14:textId="19FEB00E">
      <w:pPr>
        <w:pStyle w:val="NormalWeb"/>
        <w:spacing w:line="360" w:lineRule="auto"/>
        <w:ind w:firstLine="720"/>
        <w:jc w:val="both"/>
      </w:pPr>
      <w:r>
        <w:t xml:space="preserve">Não se verifica violação ao princípio da reserva legal, uma vez que as penalidades, obrigações e regras administrativas são estabelecidas de forma clara, objetiva e proporcional, dentro dos limites autorizados pela legislação municipal e pelos parâmetros constitucionais. </w:t>
      </w:r>
    </w:p>
    <w:p w:rsidR="00CD0899" w:rsidP="008969DD" w14:paraId="22D48D64" w14:textId="20CF8BC8">
      <w:pPr>
        <w:pStyle w:val="NormalWeb"/>
        <w:spacing w:line="360" w:lineRule="auto"/>
        <w:ind w:firstLine="720"/>
        <w:jc w:val="both"/>
      </w:pPr>
      <w:r>
        <w:t>Por fim, confirma-se</w:t>
      </w:r>
      <w:r w:rsidR="008969DD">
        <w:t xml:space="preserve"> a constitucionalidade, legalidade e regularidade formal da proposta, reforçando que a atualização da legislação é necessária para modernizar o Programa Patrulha Agrícola e corrigir distorções da lei anterior.</w:t>
      </w:r>
    </w:p>
    <w:p w:rsidR="00F972F9" w:rsidRPr="00DD52B7" w:rsidP="00DD52B7" w14:paraId="32081F86" w14:textId="4BD5C0A9">
      <w:pPr>
        <w:pStyle w:val="NormalWeb"/>
        <w:spacing w:line="360" w:lineRule="auto"/>
        <w:ind w:firstLine="720"/>
        <w:jc w:val="both"/>
        <w:rPr>
          <w:rStyle w:val="Strong"/>
          <w:b w:val="0"/>
          <w:bCs w:val="0"/>
        </w:rPr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4B1D43">
        <w:t>ui-se que o P</w:t>
      </w:r>
      <w:r w:rsidR="00085365">
        <w:t>rojeto de Lei Complementar n° 26</w:t>
      </w:r>
      <w:r w:rsidRPr="002A0A87">
        <w:t xml:space="preserve">/2025 </w:t>
      </w:r>
      <w:r w:rsidR="00085365">
        <w:t>de autoria do Prefeito Paulo de Oliveira e Silva</w:t>
      </w:r>
      <w:r w:rsidR="0017789C">
        <w:t>,</w:t>
      </w:r>
      <w:r w:rsidRPr="002A0A87" w:rsidR="00996280">
        <w:t xml:space="preserve"> </w:t>
      </w:r>
      <w:r w:rsidR="00A8132C">
        <w:t>não apresenta vícios de constitucionalidade material ou formal</w:t>
      </w:r>
      <w:r w:rsidRPr="002A0A87" w:rsidR="000A1377">
        <w:t xml:space="preserve">, </w:t>
      </w:r>
      <w:r w:rsidR="00A8132C">
        <w:t xml:space="preserve">estando </w:t>
      </w:r>
      <w:r w:rsidRPr="002A0A87" w:rsidR="000A1377">
        <w:t>apto a</w:t>
      </w:r>
      <w:r w:rsidRPr="002A0A87" w:rsidR="00996280">
        <w:t xml:space="preserve"> regular tramitação</w:t>
      </w:r>
      <w:r w:rsidRPr="002A0A87" w:rsidR="0059215B">
        <w:t>.</w:t>
      </w:r>
    </w:p>
    <w:p w:rsidR="00B45DA1" w:rsidP="00F972F9" w14:paraId="0A242704" w14:textId="5756A516">
      <w:pPr>
        <w:pStyle w:val="NormalWeb"/>
        <w:spacing w:line="360" w:lineRule="auto"/>
        <w:ind w:firstLine="720"/>
        <w:jc w:val="both"/>
      </w:pPr>
      <w:r w:rsidRPr="002A0A87">
        <w:rPr>
          <w:rStyle w:val="Strong"/>
          <w:bCs w:val="0"/>
        </w:rPr>
        <w:t>b) Conveniência e Oportunidade</w:t>
      </w:r>
    </w:p>
    <w:p w:rsidR="0017789C" w:rsidP="00B45DA1" w14:paraId="63F34853" w14:textId="0027AD44">
      <w:pPr>
        <w:pStyle w:val="NormalWeb"/>
        <w:spacing w:line="360" w:lineRule="auto"/>
        <w:ind w:firstLine="720"/>
        <w:jc w:val="both"/>
      </w:pPr>
      <w:r>
        <w:t>O</w:t>
      </w:r>
      <w:r>
        <w:t xml:space="preserve"> Pr</w:t>
      </w:r>
      <w:r w:rsidR="00DD52B7">
        <w:t>ojeto de Lei Complementar n° 26</w:t>
      </w:r>
      <w:r w:rsidR="00D467B6">
        <w:t xml:space="preserve"> de </w:t>
      </w:r>
      <w:r>
        <w:t>2025</w:t>
      </w:r>
      <w:r>
        <w:t xml:space="preserve"> revela-se conveniente e oportuno</w:t>
      </w:r>
      <w:r w:rsidR="00D3208D">
        <w:t>,</w:t>
      </w:r>
      <w:r>
        <w:t xml:space="preserve"> </w:t>
      </w:r>
      <w:r w:rsidR="00D3208D">
        <w:t xml:space="preserve">tendo em vista que promove a atualização integral do Programa Patrulha Agrícola, instrumento essencial de apoio à produção rural do Município. </w:t>
      </w:r>
    </w:p>
    <w:p w:rsidR="00D3208D" w:rsidP="00B45DA1" w14:paraId="448A19EE" w14:textId="6CE0880B">
      <w:pPr>
        <w:pStyle w:val="NormalWeb"/>
        <w:spacing w:line="360" w:lineRule="auto"/>
        <w:ind w:firstLine="720"/>
        <w:jc w:val="both"/>
      </w:pPr>
      <w:r>
        <w:t>A legislação atualmente vigente (Lei Complementar n° 307</w:t>
      </w:r>
      <w:r>
        <w:tab/>
        <w:t>/2015) apresenta lacunas, ausência de mecanismos eficazes de fiscalização e regras insuficientes para garantir transparência, segurança operacional e uso responsável dos equipamentos públicos.</w:t>
      </w:r>
    </w:p>
    <w:p w:rsidR="00D3208D" w:rsidP="00B45DA1" w14:paraId="7CCFF851" w14:textId="4CB69B31">
      <w:pPr>
        <w:pStyle w:val="NormalWeb"/>
        <w:spacing w:line="360" w:lineRule="auto"/>
        <w:ind w:firstLine="720"/>
        <w:jc w:val="both"/>
      </w:pPr>
      <w:r>
        <w:t>A proposta fortalece significativamente a gestão pública rural, ao estabelecer critérios objetivos para solicitação, utilização e devolução dos equipamentos, além de definir responsabilidades claras para servidores, operadores e beneficiários. Essa modernização evita conflitos, reduz riscos de danos ao patrimônio municipal e assegura maior previsibilidade e organização no atendimento aos produtor</w:t>
      </w:r>
      <w:r w:rsidR="00FB1668">
        <w:t xml:space="preserve">es rurais. </w:t>
      </w:r>
    </w:p>
    <w:p w:rsidR="00FB1668" w:rsidP="00B45DA1" w14:paraId="146C7867" w14:textId="5C954CFF">
      <w:pPr>
        <w:pStyle w:val="NormalWeb"/>
        <w:spacing w:line="360" w:lineRule="auto"/>
        <w:ind w:firstLine="720"/>
        <w:jc w:val="both"/>
      </w:pPr>
      <w:r>
        <w:t xml:space="preserve">Também introduz ferramentas indispensáveis para assegurar a eficiência administrativa, como o registro digital das solicitações, o controle técnico das operações, a definição de prazos, a regulamentação das prorrogações e a padronização dos atendimentos, aprimorando a atuação da Secretaria de Agricultura e profissionalizando o serviço rural prestado pelo Município. </w:t>
      </w:r>
    </w:p>
    <w:p w:rsidR="00FB1668" w:rsidP="00B45DA1" w14:paraId="66B7BCF5" w14:textId="2D104813">
      <w:pPr>
        <w:pStyle w:val="NormalWeb"/>
        <w:spacing w:line="360" w:lineRule="auto"/>
        <w:ind w:firstLine="720"/>
        <w:jc w:val="both"/>
      </w:pPr>
      <w:r>
        <w:t>Destaca-se</w:t>
      </w:r>
      <w:r w:rsidR="002B07D1">
        <w:t>,</w:t>
      </w:r>
      <w:r>
        <w:t xml:space="preserve"> ainda</w:t>
      </w:r>
      <w:r w:rsidR="002B07D1">
        <w:t>,</w:t>
      </w:r>
      <w:r>
        <w:t xml:space="preserve"> o avanço no aspecto da fiscalização e responsabilização, por meio da criação de Autos de Infração e Notificação, Autos de Infração e Imposição de Multa e do estabelecimento de penalidades proporcionais às condutas irregulares. Esses instrumentos conferem maior capacidade coercitiva ao Poder Público, evitando o uso indevido, o desgaste prematuro e a apropriação indevida dos equipamentos. </w:t>
      </w:r>
    </w:p>
    <w:p w:rsidR="00DD52B7" w:rsidRPr="00C06518" w:rsidP="00C06518" w14:paraId="13BB6537" w14:textId="66324D15">
      <w:pPr>
        <w:pStyle w:val="NormalWeb"/>
        <w:spacing w:line="360" w:lineRule="auto"/>
        <w:ind w:firstLine="720"/>
        <w:jc w:val="both"/>
        <w:rPr>
          <w:rStyle w:val="Strong"/>
          <w:b w:val="0"/>
          <w:bCs w:val="0"/>
        </w:rPr>
      </w:pPr>
      <w:r>
        <w:t xml:space="preserve">A atualização também atende aos interesses da população rural ao proporcionar </w:t>
      </w:r>
      <w:r w:rsidR="00A53FAE">
        <w:t>transparências</w:t>
      </w:r>
      <w:r>
        <w:t>, equidade e maior rotatividade no uso dos equipamentos, garantindo que o serviço público</w:t>
      </w:r>
      <w:r w:rsidR="00C06518">
        <w:t xml:space="preserve"> chegue de forma mais organizada, justa e eficiente aos pequenos e médios produtores. </w:t>
      </w:r>
    </w:p>
    <w:p w:rsidR="00C06518" w:rsidP="00C06518" w14:paraId="7A72E9A7" w14:textId="728C8FF5">
      <w:pPr>
        <w:pStyle w:val="NormalWeb"/>
        <w:spacing w:line="360" w:lineRule="auto"/>
        <w:ind w:firstLine="720"/>
        <w:jc w:val="both"/>
      </w:pPr>
      <w:r>
        <w:t xml:space="preserve">Portanto, </w:t>
      </w:r>
      <w:r>
        <w:t xml:space="preserve">o projeto se </w:t>
      </w:r>
      <w:r w:rsidR="004B4D5B">
        <w:t xml:space="preserve">apresenta como medida oportuna e </w:t>
      </w:r>
      <w:r>
        <w:t xml:space="preserve">coerente com as demandas atuais do setor agrícola municipal e alinhada às diretrizes de gestão pública eficiente, moderna e sustentável, sendo recomendável sua aprovação. </w:t>
      </w:r>
    </w:p>
    <w:p w:rsidR="002B07D1" w:rsidP="002B07D1" w14:paraId="14897F29" w14:textId="01740C4E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>
        <w:pict>
          <v:rect id="_x0000_i1027" style="width:0;height:0.75pt" o:hralign="center" o:hrstd="t" o:hrnoshade="t" o:hr="t" fillcolor="#404040" stroked="f"/>
        </w:pict>
      </w:r>
    </w:p>
    <w:p w:rsidR="002B07D1" w:rsidRPr="00D22C92" w:rsidP="002B07D1" w14:paraId="39B7E3B2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22C92">
        <w:rPr>
          <w:rStyle w:val="Strong"/>
          <w:b/>
          <w:bCs w:val="0"/>
          <w:color w:val="auto"/>
          <w:sz w:val="24"/>
          <w:szCs w:val="24"/>
        </w:rPr>
        <w:t>III – IMPACTO FINANCEIRO E ORÇAMENTÁRIO</w:t>
      </w:r>
    </w:p>
    <w:p w:rsidR="002B07D1" w:rsidRPr="003937AF" w:rsidP="002B07D1" w14:paraId="5EA6E8D2" w14:textId="3BD24F34">
      <w:pPr>
        <w:pStyle w:val="NormalWeb"/>
        <w:spacing w:line="360" w:lineRule="auto"/>
        <w:ind w:firstLine="720"/>
        <w:jc w:val="both"/>
      </w:pPr>
      <w:r w:rsidRPr="003937AF">
        <w:t>Quanto a análise do impacto financeiro e orçamentário, o projeto de lei vei</w:t>
      </w:r>
      <w:r>
        <w:t>o instruído com o Despacho n°705</w:t>
      </w:r>
      <w:r w:rsidRPr="003937AF">
        <w:t xml:space="preserve">/2025 do Planejamento Orçamentário sobre o impacto </w:t>
      </w:r>
      <w:r>
        <w:t>orçamentário-financeiro (fls. 18</w:t>
      </w:r>
      <w:r w:rsidRPr="003937AF">
        <w:t>).</w:t>
      </w:r>
    </w:p>
    <w:p w:rsidR="002B07D1" w:rsidP="002B07D1" w14:paraId="1C1B5A3A" w14:textId="60E782D3">
      <w:pPr>
        <w:pStyle w:val="NormalWeb"/>
        <w:spacing w:line="360" w:lineRule="auto"/>
        <w:ind w:firstLine="720"/>
        <w:jc w:val="both"/>
      </w:pPr>
      <w:r w:rsidRPr="003937AF">
        <w:t xml:space="preserve">Tal certidão demonstra que a referida proposta </w:t>
      </w:r>
      <w:r>
        <w:t>não gera impacto orçamentário, uma vez que não depende da criação de novo setor administrativo ou de estrutura específica de fiscalização, mas sim de sua regularização e integração às atividades já existentes, aproveitando-se dos meios e recursos operacionais atualmente disponíveis.</w:t>
      </w:r>
    </w:p>
    <w:p w:rsidR="002B07D1" w:rsidP="002B07D1" w14:paraId="24261AE7" w14:textId="27908369">
      <w:pPr>
        <w:pStyle w:val="NormalWeb"/>
        <w:spacing w:line="360" w:lineRule="auto"/>
        <w:ind w:firstLine="720"/>
        <w:jc w:val="both"/>
      </w:pPr>
      <w:r>
        <w:t>Somente a partir de sua implementação será possível promover o adequado alinhamento do Fundo Municipal de Desenvolvimento Rural (FMDR) ao Plano Plurianual (PPA) vigente, com vistas a, se necessário, proceder às devidas adequações e ajustes, de modo a contemplar a criação de ações governamentais específicas, acompanhadas de seus respectivos produtos e indicadores, garantindo assim condições objetivas para o monitoramento, avaliação</w:t>
      </w:r>
      <w:r w:rsidR="00B11EBB">
        <w:t xml:space="preserve"> </w:t>
      </w:r>
      <w:r>
        <w:t>e fiscalização.</w:t>
      </w:r>
    </w:p>
    <w:p w:rsidR="002B07D1" w:rsidP="002B07D1" w14:paraId="4D219C0C" w14:textId="5F59F25E">
      <w:pPr>
        <w:pStyle w:val="NormalWeb"/>
        <w:spacing w:line="360" w:lineRule="auto"/>
        <w:ind w:firstLine="720"/>
        <w:jc w:val="both"/>
      </w:pPr>
      <w:r>
        <w:t>Após o início efetivo do funcionamento da Patrulha Agrícola, será igualmente viabilizada a previsão de receitas próprias e a fixação das despesas vinculadas, a serem inseridas e disciplinadas na Lei Orçamentária Anual (LOA), mediante dotação orçamentária a ser alocada pela Secretaria Municipal que vier a ser designada como responsável pela gestão do FMIDR.</w:t>
      </w:r>
    </w:p>
    <w:p w:rsidR="00F74441" w:rsidRPr="002A0A87" w:rsidP="00015C44" w14:paraId="38BA90DC" w14:textId="20F490BF">
      <w:pPr>
        <w:pStyle w:val="NormalWeb"/>
        <w:spacing w:line="360" w:lineRule="auto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68542A3A" w14:textId="30E37117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="00B11EBB">
        <w:rPr>
          <w:rStyle w:val="Strong"/>
          <w:b/>
          <w:bCs w:val="0"/>
          <w:color w:val="auto"/>
          <w:sz w:val="24"/>
          <w:szCs w:val="24"/>
        </w:rPr>
        <w:t>V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F13148" w14:paraId="0344C6BF" w14:textId="47341228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 A decisão de não propor emendas baseia-se no entendimento de que o projeto, em sua forma cumpre com os seus objetivos.</w:t>
      </w:r>
      <w: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0089363A" w14:textId="207654B3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01A78F78">
      <w:pPr>
        <w:pStyle w:val="NormalWeb"/>
        <w:spacing w:line="360" w:lineRule="auto"/>
        <w:jc w:val="both"/>
      </w:pPr>
      <w:r w:rsidRPr="002A0A87">
        <w:tab/>
      </w:r>
      <w:r w:rsidR="00B11EBB">
        <w:t>A Comissão de Justiça e Redação; Comissão de Obras, Serviços Públicos e Atividades Privadas e a Comissão de Finanças e Orçamento</w:t>
      </w:r>
      <w:r w:rsidRPr="002A0A87" w:rsidR="00B11EBB">
        <w:t xml:space="preserve"> por unanimidade, </w:t>
      </w:r>
      <w:r w:rsidRPr="002A0A87" w:rsidR="00B11EBB">
        <w:rPr>
          <w:rStyle w:val="Strong"/>
        </w:rPr>
        <w:t>aprova</w:t>
      </w:r>
      <w:r w:rsidR="00B11EBB">
        <w:rPr>
          <w:rStyle w:val="Strong"/>
        </w:rPr>
        <w:t>m</w:t>
      </w:r>
      <w:r w:rsidRPr="002A0A87" w:rsidR="00B11EBB">
        <w:t> o Pro</w:t>
      </w:r>
      <w:r w:rsidR="00B11EBB">
        <w:t>jeto de Lei Complementar nº 26</w:t>
      </w:r>
      <w:r w:rsidRPr="002A0A87" w:rsidR="00B11EBB">
        <w:t xml:space="preserve"> de 2025, </w:t>
      </w:r>
      <w:r w:rsidR="00F07A74">
        <w:rPr>
          <w:rStyle w:val="Strong"/>
        </w:rPr>
        <w:t>sem</w:t>
      </w:r>
      <w:bookmarkStart w:id="0" w:name="_GoBack"/>
      <w:bookmarkEnd w:id="0"/>
      <w:r w:rsidRPr="002A0A87" w:rsidR="00B11EBB">
        <w:rPr>
          <w:rStyle w:val="Strong"/>
        </w:rPr>
        <w:t xml:space="preserve"> emendas</w:t>
      </w:r>
      <w:r w:rsidRPr="002A0A87" w:rsidR="00B11EBB">
        <w:t>, considerando-o </w:t>
      </w:r>
      <w:r w:rsidRPr="002A0A87" w:rsidR="00B11EBB">
        <w:rPr>
          <w:rStyle w:val="Strong"/>
        </w:rPr>
        <w:t>legal,</w:t>
      </w:r>
      <w:r w:rsidR="00B11EBB">
        <w:rPr>
          <w:rStyle w:val="Strong"/>
        </w:rPr>
        <w:t xml:space="preserve"> constitucional e conveniente.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BB410F" w:rsidRPr="002A0A87" w:rsidP="00BB410F" w14:paraId="52AADB81" w14:textId="43C5D82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 w:rsidR="00C8480D">
        <w:t xml:space="preserve">ictor </w:t>
      </w:r>
      <w:r w:rsidR="00FD088C">
        <w:t xml:space="preserve">Coutinho </w:t>
      </w:r>
      <w:r w:rsidR="00C8480D">
        <w:t>Gasparini (Vice-Presidente</w:t>
      </w:r>
      <w:r w:rsidRPr="002A0A87">
        <w:t>)</w:t>
      </w:r>
    </w:p>
    <w:p w:rsidR="00346786" w:rsidP="00346786" w14:paraId="25BDC939" w14:textId="4C72315A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>
        <w:t>Wilians</w:t>
      </w:r>
      <w:r>
        <w:t xml:space="preserve"> Mendes de Oliveira</w:t>
      </w:r>
      <w:r w:rsidRPr="002A0A87" w:rsidR="00746224">
        <w:t xml:space="preserve"> (Membro</w:t>
      </w:r>
      <w:r w:rsidRPr="002A0A87">
        <w:t>)</w:t>
      </w:r>
    </w:p>
    <w:p w:rsidR="00B11EBB" w:rsidRPr="002A0A87" w:rsidP="00B11EBB" w14:paraId="2E6402F7" w14:textId="77777777">
      <w:pPr>
        <w:pStyle w:val="NormalWeb"/>
        <w:spacing w:line="360" w:lineRule="auto"/>
      </w:pPr>
      <w:r w:rsidRPr="002A0A87">
        <w:rPr>
          <w:rStyle w:val="Strong"/>
        </w:rPr>
        <w:t xml:space="preserve">Assinam os membros da </w:t>
      </w:r>
      <w:r>
        <w:rPr>
          <w:b/>
        </w:rPr>
        <w:t>Comissão de Obras, Serviços Públicos e Atividades Privadas</w:t>
      </w:r>
      <w:r w:rsidRPr="000605C6">
        <w:rPr>
          <w:rStyle w:val="Strong"/>
          <w:b w:val="0"/>
        </w:rPr>
        <w:t xml:space="preserve"> </w:t>
      </w:r>
      <w:r w:rsidRPr="002A0A87">
        <w:rPr>
          <w:rStyle w:val="Strong"/>
        </w:rPr>
        <w:t>que votaram a favor:</w:t>
      </w:r>
    </w:p>
    <w:p w:rsidR="00B11EBB" w:rsidRPr="002A0A87" w:rsidP="00B11EBB" w14:paraId="4DD296BF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Ademir Souza </w:t>
      </w:r>
      <w:r>
        <w:t>Floretti</w:t>
      </w:r>
      <w:r>
        <w:t xml:space="preserve"> Junior</w:t>
      </w:r>
      <w:r w:rsidRPr="002A0A87">
        <w:t xml:space="preserve"> (Presidente)</w:t>
      </w:r>
    </w:p>
    <w:p w:rsidR="00B11EBB" w:rsidRPr="002A0A87" w:rsidP="00B11EBB" w14:paraId="22EDEF2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 xml:space="preserve">Márcio Evandro Ribeiro </w:t>
      </w:r>
      <w:r w:rsidRPr="002A0A87">
        <w:t>(Vice-Presidente)</w:t>
      </w:r>
    </w:p>
    <w:p w:rsidR="00B11EBB" w:rsidRPr="002A0A87" w:rsidP="00B11EBB" w14:paraId="1CFBCBB6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>Wilians</w:t>
      </w:r>
      <w:r>
        <w:t xml:space="preserve"> Mendes de Oliveira</w:t>
      </w:r>
      <w:r w:rsidRPr="002A0A87">
        <w:t xml:space="preserve"> (Membro)</w:t>
      </w:r>
    </w:p>
    <w:p w:rsidR="00B11EBB" w:rsidRPr="002A0A87" w:rsidP="00B11EBB" w14:paraId="02C2CF3A" w14:textId="77777777">
      <w:pPr>
        <w:pStyle w:val="NormalWeb"/>
        <w:spacing w:line="360" w:lineRule="auto"/>
      </w:pPr>
      <w:r w:rsidRPr="002A0A87">
        <w:rPr>
          <w:rStyle w:val="Strong"/>
        </w:rPr>
        <w:t xml:space="preserve">Assinam os membros </w:t>
      </w:r>
      <w:r>
        <w:rPr>
          <w:rStyle w:val="Strong"/>
        </w:rPr>
        <w:t>da Comissão de Finanças e Orçamento</w:t>
      </w:r>
      <w:r w:rsidRPr="002A0A87">
        <w:rPr>
          <w:rStyle w:val="Strong"/>
        </w:rPr>
        <w:t xml:space="preserve"> que votaram a favor:</w:t>
      </w:r>
    </w:p>
    <w:p w:rsidR="00B11EBB" w:rsidRPr="002A0A87" w:rsidP="00B11EBB" w14:paraId="069489D7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Vereadora Mara Cristina </w:t>
      </w:r>
      <w:r>
        <w:t>Choquetta</w:t>
      </w:r>
      <w:r w:rsidRPr="002A0A87">
        <w:t xml:space="preserve"> (Presidente)</w:t>
      </w:r>
    </w:p>
    <w:p w:rsidR="00B11EBB" w:rsidRPr="002A0A87" w:rsidP="00B11EBB" w14:paraId="0B789F34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 xml:space="preserve">Márcio Dener </w:t>
      </w:r>
      <w:r>
        <w:t>Coran</w:t>
      </w:r>
      <w:r>
        <w:t xml:space="preserve"> </w:t>
      </w:r>
      <w:r w:rsidRPr="002A0A87">
        <w:t>(Vice-Presidente)</w:t>
      </w:r>
    </w:p>
    <w:p w:rsidR="00B11EBB" w:rsidRPr="002A0A87" w:rsidP="00B11EBB" w14:paraId="3C19371C" w14:textId="2D804ACD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 xml:space="preserve">Vereador </w:t>
      </w:r>
      <w:r>
        <w:t xml:space="preserve">Marcos Paulo </w:t>
      </w:r>
      <w:r>
        <w:t>Cegatti</w:t>
      </w:r>
      <w:r w:rsidRPr="002A0A87">
        <w:t xml:space="preserve"> (Membro)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1" style="width:0;height:0.75pt" o:hrstd="t" o:hrnoshade="t" o:hr="t" fillcolor="#404040" stroked="f"/>
        </w:pict>
      </w:r>
    </w:p>
    <w:p w:rsidR="00F74441" w:rsidRPr="002A0A87" w:rsidP="003D6D21" w14:paraId="6AB168D8" w14:textId="64E8B9F3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A53FAE">
        <w:rPr>
          <w:rStyle w:val="Strong"/>
        </w:rPr>
        <w:t>O RÓTTOLI”, em 12</w:t>
      </w:r>
      <w:r w:rsidR="004345C0">
        <w:rPr>
          <w:rStyle w:val="Strong"/>
        </w:rPr>
        <w:t xml:space="preserve"> de dezembro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C06518" w:rsidRPr="00C06518" w:rsidP="00DC32F0" w14:paraId="13D691E3" w14:textId="1AC991D0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AF5AEC">
        <w:rPr>
          <w:rStyle w:val="Strong"/>
          <w:bCs w:val="0"/>
        </w:rPr>
        <w:t>Constituição Federal, Art. 30, incisos I e II, e o Art. 37, caput:</w:t>
      </w:r>
      <w:r>
        <w:rPr>
          <w:rStyle w:val="Strong"/>
          <w:b w:val="0"/>
          <w:bCs w:val="0"/>
        </w:rPr>
        <w:t xml:space="preserve"> tratam da competência municipal, que dispõe sobre os princípios da Administração Pública.</w:t>
      </w:r>
    </w:p>
    <w:p w:rsidR="007F4221" w:rsidP="007F4221" w14:paraId="2D169534" w14:textId="4DB6653D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7F4221">
        <w:rPr>
          <w:b/>
        </w:rPr>
        <w:t>Lei Complementar Municipal n° 307/2015:</w:t>
      </w:r>
      <w:r>
        <w:t xml:space="preserve"> regulamenta o Art. 165 da Lei Orgânica do Município de Mogi Mirim, e dá outras providências.</w:t>
      </w:r>
    </w:p>
    <w:p w:rsidR="005F4C80" w:rsidP="00747882" w14:paraId="751449BC" w14:textId="56D59D7A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7F4221">
        <w:rPr>
          <w:rStyle w:val="Strong"/>
          <w:bCs w:val="0"/>
        </w:rPr>
        <w:t>Lei Complementar n° 101/2000</w:t>
      </w:r>
      <w:r w:rsidRPr="007F4221">
        <w:rPr>
          <w:rStyle w:val="Strong"/>
          <w:bCs w:val="0"/>
        </w:rPr>
        <w:t xml:space="preserve"> (Lei de Responsabilidade Fiscal), Art. </w:t>
      </w:r>
      <w:r w:rsidRPr="007F4221" w:rsidR="007F4221">
        <w:rPr>
          <w:rStyle w:val="Strong"/>
          <w:bCs w:val="0"/>
        </w:rPr>
        <w:t>15, 16 e</w:t>
      </w:r>
      <w:r w:rsidRPr="007F4221">
        <w:rPr>
          <w:rStyle w:val="Strong"/>
          <w:bCs w:val="0"/>
        </w:rPr>
        <w:t xml:space="preserve"> 17: </w:t>
      </w:r>
      <w:r w:rsidR="007F4221">
        <w:rPr>
          <w:rStyle w:val="Strong"/>
          <w:b w:val="0"/>
          <w:bCs w:val="0"/>
        </w:rPr>
        <w:t xml:space="preserve">relativos à criação ou modificação de programas públicos e à assunção de encargos pela administração. </w:t>
      </w:r>
    </w:p>
    <w:p w:rsidR="00857302" w:rsidRPr="00857302" w:rsidP="00857302" w14:paraId="4A52A610" w14:textId="6B2CDC13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b/>
        </w:rPr>
      </w:pPr>
      <w:r w:rsidRPr="00857302">
        <w:rPr>
          <w:b/>
        </w:rPr>
        <w:t>Código Tributário Municipal (Lei n° 1.431/1983)</w:t>
      </w:r>
      <w:r>
        <w:rPr>
          <w:b/>
        </w:rPr>
        <w:t>:</w:t>
      </w:r>
      <w:r w:rsidRPr="00857302">
        <w:t xml:space="preserve"> Institui o Código Tributário do Município de Mogi Mirim e dá outras providências.</w:t>
      </w:r>
    </w:p>
    <w:p w:rsidR="00857302" w:rsidRPr="00857302" w:rsidP="00747882" w14:paraId="6BBB7A01" w14:textId="631C870E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857302">
        <w:rPr>
          <w:b/>
        </w:rPr>
        <w:t>Lei Orgânica do Município de Mogi Mirim: Art. 165.</w:t>
      </w:r>
    </w:p>
    <w:p w:rsidR="006A34B2" w:rsidP="004B4D5B" w14:paraId="59D687B9" w14:textId="6A2A8AE0">
      <w:pPr>
        <w:pStyle w:val="NormalWeb"/>
        <w:spacing w:before="0" w:beforeAutospacing="0" w:line="360" w:lineRule="auto"/>
        <w:jc w:val="both"/>
        <w:rPr>
          <w:rStyle w:val="Strong"/>
          <w:bCs w:val="0"/>
        </w:rPr>
      </w:pPr>
    </w:p>
    <w:p w:rsidR="00B11EBB" w:rsidP="004B4D5B" w14:paraId="2DC2588B" w14:textId="77777777">
      <w:pPr>
        <w:pStyle w:val="NormalWeb"/>
        <w:spacing w:before="0" w:beforeAutospacing="0" w:line="360" w:lineRule="auto"/>
        <w:jc w:val="both"/>
        <w:rPr>
          <w:rStyle w:val="Strong"/>
          <w:bCs w:val="0"/>
        </w:rPr>
      </w:pPr>
    </w:p>
    <w:p w:rsidR="00B11EBB" w:rsidP="004B4D5B" w14:paraId="13CB96AE" w14:textId="77777777">
      <w:pPr>
        <w:pStyle w:val="NormalWeb"/>
        <w:spacing w:before="0" w:beforeAutospacing="0" w:line="360" w:lineRule="auto"/>
        <w:jc w:val="both"/>
        <w:rPr>
          <w:rStyle w:val="Strong"/>
          <w:bCs w:val="0"/>
        </w:rPr>
      </w:pPr>
    </w:p>
    <w:p w:rsidR="00B11EBB" w:rsidP="004B4D5B" w14:paraId="04603DF2" w14:textId="77777777">
      <w:pPr>
        <w:pStyle w:val="NormalWeb"/>
        <w:spacing w:before="0" w:beforeAutospacing="0" w:line="360" w:lineRule="auto"/>
        <w:jc w:val="both"/>
        <w:rPr>
          <w:rStyle w:val="Strong"/>
          <w:bCs w:val="0"/>
        </w:rPr>
      </w:pPr>
    </w:p>
    <w:p w:rsidR="00B11EBB" w:rsidP="004B4D5B" w14:paraId="7B35313F" w14:textId="77777777">
      <w:pPr>
        <w:pStyle w:val="NormalWeb"/>
        <w:spacing w:before="0" w:beforeAutospacing="0" w:line="360" w:lineRule="auto"/>
        <w:jc w:val="both"/>
        <w:rPr>
          <w:rStyle w:val="Strong"/>
          <w:bCs w:val="0"/>
        </w:rPr>
      </w:pPr>
    </w:p>
    <w:p w:rsidR="00B11EBB" w:rsidP="004B4D5B" w14:paraId="42AF30E7" w14:textId="77777777">
      <w:pPr>
        <w:pStyle w:val="NormalWeb"/>
        <w:spacing w:before="0" w:beforeAutospacing="0" w:line="360" w:lineRule="auto"/>
        <w:jc w:val="both"/>
        <w:rPr>
          <w:rStyle w:val="Strong"/>
          <w:bCs w:val="0"/>
        </w:rPr>
      </w:pPr>
    </w:p>
    <w:p w:rsidR="00B11EBB" w:rsidP="004B4D5B" w14:paraId="55F3E0DD" w14:textId="77777777">
      <w:pPr>
        <w:pStyle w:val="NormalWeb"/>
        <w:spacing w:before="0" w:beforeAutospacing="0" w:line="360" w:lineRule="auto"/>
        <w:jc w:val="both"/>
        <w:rPr>
          <w:rStyle w:val="Strong"/>
          <w:bCs w:val="0"/>
        </w:rPr>
      </w:pPr>
    </w:p>
    <w:p w:rsidR="00B11EBB" w:rsidP="004B4D5B" w14:paraId="08065B0D" w14:textId="77777777">
      <w:pPr>
        <w:pStyle w:val="NormalWeb"/>
        <w:spacing w:before="0" w:beforeAutospacing="0" w:line="360" w:lineRule="auto"/>
        <w:jc w:val="both"/>
        <w:rPr>
          <w:rStyle w:val="Strong"/>
          <w:bCs w:val="0"/>
        </w:rPr>
      </w:pPr>
    </w:p>
    <w:p w:rsidR="00B11EBB" w:rsidP="004B4D5B" w14:paraId="76DFB040" w14:textId="77777777">
      <w:pPr>
        <w:pStyle w:val="NormalWeb"/>
        <w:spacing w:before="0" w:beforeAutospacing="0" w:line="360" w:lineRule="auto"/>
        <w:jc w:val="both"/>
        <w:rPr>
          <w:rStyle w:val="Strong"/>
          <w:bCs w:val="0"/>
        </w:rPr>
      </w:pPr>
    </w:p>
    <w:p w:rsidR="00B11EBB" w:rsidP="004B4D5B" w14:paraId="7E797FBB" w14:textId="77777777">
      <w:pPr>
        <w:pStyle w:val="NormalWeb"/>
        <w:spacing w:before="0" w:beforeAutospacing="0" w:line="360" w:lineRule="auto"/>
        <w:jc w:val="both"/>
        <w:rPr>
          <w:rStyle w:val="Strong"/>
          <w:bCs w:val="0"/>
        </w:rPr>
      </w:pPr>
    </w:p>
    <w:p w:rsidR="00B11EBB" w:rsidP="004B4D5B" w14:paraId="16262C23" w14:textId="77777777">
      <w:pPr>
        <w:pStyle w:val="NormalWeb"/>
        <w:spacing w:before="0" w:beforeAutospacing="0" w:line="360" w:lineRule="auto"/>
        <w:jc w:val="both"/>
        <w:rPr>
          <w:rStyle w:val="Strong"/>
          <w:bCs w:val="0"/>
        </w:rPr>
      </w:pPr>
    </w:p>
    <w:p w:rsidR="00B11EBB" w:rsidP="004B4D5B" w14:paraId="131B534A" w14:textId="77777777">
      <w:pPr>
        <w:pStyle w:val="NormalWeb"/>
        <w:spacing w:before="0" w:beforeAutospacing="0" w:line="360" w:lineRule="auto"/>
        <w:jc w:val="both"/>
        <w:rPr>
          <w:rStyle w:val="Strong"/>
          <w:b w:val="0"/>
          <w:bCs w:val="0"/>
        </w:rPr>
      </w:pPr>
    </w:p>
    <w:p w:rsidR="00857302" w:rsidRPr="002A0A87" w:rsidP="00857302" w14:paraId="489C7D10" w14:textId="5E5FE545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 REDAÇÃO</w:t>
      </w:r>
      <w:r>
        <w:rPr>
          <w:rFonts w:ascii="Palatino Linotype" w:hAnsi="Palatino Linotype" w:cs="Arial"/>
          <w:b/>
          <w:sz w:val="24"/>
          <w:szCs w:val="24"/>
        </w:rPr>
        <w:t>; COMISSÃO DE OBRAS, SERVIÇOS PÚBLICOS E ATIVIDADES PRIVADAS E COMISSÃO DE FINANÇAS E ORÇAMENTO AO PROJETO DE LEI COMPLEMENTAR N° 26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DO PREFEITO MUNICIPAL PAULO DE OLIVEIRA E SILVA.</w:t>
      </w:r>
    </w:p>
    <w:p w:rsidR="00857302" w:rsidRPr="002A0A87" w:rsidP="00857302" w14:paraId="3676B7B7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857302" w:rsidRPr="002A0A87" w:rsidP="00857302" w14:paraId="0372A659" w14:textId="25F4FD7D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</w:t>
      </w:r>
      <w:r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</w:t>
      </w:r>
      <w:r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artigo</w:t>
      </w:r>
      <w:r>
        <w:rPr>
          <w:rFonts w:ascii="Palatino Linotype" w:hAnsi="Palatino Linotype" w:cs="Arial"/>
          <w:sz w:val="24"/>
          <w:szCs w:val="24"/>
        </w:rPr>
        <w:t>s</w:t>
      </w:r>
      <w:r w:rsidRPr="002A0A87">
        <w:rPr>
          <w:rFonts w:ascii="Palatino Linotype" w:hAnsi="Palatino Linotype" w:cs="Arial"/>
          <w:sz w:val="24"/>
          <w:szCs w:val="24"/>
        </w:rPr>
        <w:t xml:space="preserve"> 35</w:t>
      </w:r>
      <w:r>
        <w:rPr>
          <w:rFonts w:ascii="Palatino Linotype" w:hAnsi="Palatino Linotype" w:cs="Arial"/>
          <w:sz w:val="24"/>
          <w:szCs w:val="24"/>
        </w:rPr>
        <w:t>, 37 e 38</w:t>
      </w:r>
      <w:r w:rsidRPr="002A0A87">
        <w:rPr>
          <w:rFonts w:ascii="Palatino Linotype" w:hAnsi="Palatino Linotype" w:cs="Arial"/>
          <w:sz w:val="24"/>
          <w:szCs w:val="24"/>
        </w:rPr>
        <w:t xml:space="preserve"> da Resolução n° 276 de 09 de novembro de 2010 a Comissão </w:t>
      </w:r>
      <w:r>
        <w:rPr>
          <w:rFonts w:ascii="Palatino Linotype" w:hAnsi="Palatino Linotype" w:cs="Arial"/>
          <w:sz w:val="24"/>
          <w:szCs w:val="24"/>
        </w:rPr>
        <w:t xml:space="preserve">Permanente de Justiça e Redação; Comissão de Obras, Serviços Públicos e Atividades Privadas e Comissão de Finanças e Orçamento </w:t>
      </w:r>
      <w:r w:rsidRPr="002A0A87">
        <w:rPr>
          <w:rFonts w:ascii="Palatino Linotype" w:hAnsi="Palatino Linotype" w:cs="Arial"/>
          <w:sz w:val="24"/>
          <w:szCs w:val="24"/>
        </w:rPr>
        <w:t>formaliza</w:t>
      </w:r>
      <w:r>
        <w:rPr>
          <w:rFonts w:ascii="Palatino Linotype" w:hAnsi="Palatino Linotype" w:cs="Arial"/>
          <w:sz w:val="24"/>
          <w:szCs w:val="24"/>
        </w:rPr>
        <w:t>m</w:t>
      </w:r>
      <w:r w:rsidRPr="002A0A87">
        <w:rPr>
          <w:rFonts w:ascii="Palatino Linotype" w:hAnsi="Palatino Linotype" w:cs="Arial"/>
          <w:sz w:val="24"/>
          <w:szCs w:val="24"/>
        </w:rPr>
        <w:t xml:space="preserve"> o presente PARECER F</w:t>
      </w:r>
      <w:r>
        <w:rPr>
          <w:rFonts w:ascii="Palatino Linotype" w:hAnsi="Palatino Linotype" w:cs="Arial"/>
          <w:sz w:val="24"/>
          <w:szCs w:val="24"/>
        </w:rPr>
        <w:t>AVORÁVEL ao Projeto de Lei Complementar n° 26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0BB7989E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450020">
        <w:rPr>
          <w:rFonts w:ascii="Palatino Linotype" w:hAnsi="Palatino Linotype" w:cs="Arial"/>
          <w:bCs/>
          <w:sz w:val="24"/>
          <w:szCs w:val="24"/>
        </w:rPr>
        <w:t xml:space="preserve">Comissões, </w:t>
      </w:r>
      <w:r w:rsidR="00A53FAE">
        <w:rPr>
          <w:rFonts w:ascii="Palatino Linotype" w:hAnsi="Palatino Linotype" w:cs="Arial"/>
          <w:bCs/>
          <w:sz w:val="24"/>
          <w:szCs w:val="24"/>
        </w:rPr>
        <w:t xml:space="preserve">12 </w:t>
      </w:r>
      <w:r w:rsidR="004345C0">
        <w:rPr>
          <w:rFonts w:ascii="Palatino Linotype" w:hAnsi="Palatino Linotype" w:cs="Arial"/>
          <w:bCs/>
          <w:sz w:val="24"/>
          <w:szCs w:val="24"/>
        </w:rPr>
        <w:t>de dezembro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5D464FF4" w14:textId="089C7001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34450" w:rsidRPr="002A0A87" w:rsidP="00F13148" w14:paraId="74818F75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34450" w:rsidP="00B65347" w14:paraId="5A3A4601" w14:textId="77777777">
      <w:pPr>
        <w:spacing w:line="380" w:lineRule="atLeast"/>
        <w:jc w:val="center"/>
        <w:rPr>
          <w:bCs/>
          <w:i/>
          <w:sz w:val="24"/>
          <w:szCs w:val="24"/>
        </w:rPr>
      </w:pPr>
    </w:p>
    <w:p w:rsidR="00B65347" w:rsidRPr="002A0A87" w:rsidP="00B65347" w14:paraId="3B23B211" w14:textId="7D63016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JOÃO VICTOR </w:t>
      </w:r>
      <w:r w:rsidR="00FD088C">
        <w:rPr>
          <w:rFonts w:ascii="Palatino Linotype" w:hAnsi="Palatino Linotype" w:cs="Arial"/>
          <w:b/>
          <w:sz w:val="24"/>
          <w:szCs w:val="24"/>
          <w:u w:val="single"/>
        </w:rPr>
        <w:t xml:space="preserve">COUTINHO </w:t>
      </w: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GASPARINI</w:t>
      </w:r>
    </w:p>
    <w:p w:rsidR="00B65347" w:rsidP="00B65347" w14:paraId="63731795" w14:textId="4789E39B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857302" w:rsidRPr="002A0A87" w:rsidP="00B65347" w14:paraId="0FF766CB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D34450" w:rsidP="00857302" w14:paraId="4B57878F" w14:textId="77777777">
      <w:pPr>
        <w:spacing w:line="380" w:lineRule="atLeast"/>
        <w:rPr>
          <w:bCs/>
          <w:i/>
          <w:sz w:val="24"/>
          <w:szCs w:val="24"/>
        </w:rPr>
      </w:pPr>
    </w:p>
    <w:p w:rsidR="00F13148" w:rsidRPr="002A0A87" w:rsidP="00F13148" w14:paraId="2D93895A" w14:textId="2969651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F13148" w:rsidP="00996888" w14:paraId="684EA24D" w14:textId="77777777">
      <w:pPr>
        <w:pStyle w:val="NormalWeb"/>
        <w:spacing w:before="0" w:beforeAutospacing="0" w:line="360" w:lineRule="auto"/>
        <w:jc w:val="both"/>
      </w:pPr>
    </w:p>
    <w:p w:rsidR="00857302" w:rsidP="00996888" w14:paraId="42AD5DE1" w14:textId="77777777">
      <w:pPr>
        <w:pStyle w:val="NormalWeb"/>
        <w:spacing w:before="0" w:beforeAutospacing="0" w:line="360" w:lineRule="auto"/>
        <w:jc w:val="both"/>
      </w:pPr>
    </w:p>
    <w:p w:rsidR="00857302" w:rsidRPr="002A0A87" w:rsidP="00857302" w14:paraId="0621B305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OBRAS, SERVIÇOS PÚBLICOS E ATIVIDADES PRIVADAS</w:t>
      </w:r>
    </w:p>
    <w:p w:rsidR="00857302" w:rsidRPr="002A0A87" w:rsidP="00857302" w14:paraId="55DD77F8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57302" w:rsidRPr="002A0A87" w:rsidP="00857302" w14:paraId="2C5044EE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57302" w:rsidRPr="002A0A87" w:rsidP="00857302" w14:paraId="1E711E2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857302" w:rsidRPr="002A0A87" w:rsidP="00857302" w14:paraId="749E80C7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ADEMIR SOUZA FLORETTI JUNIOR</w:t>
      </w:r>
    </w:p>
    <w:p w:rsidR="00857302" w:rsidRPr="002A0A87" w:rsidP="00857302" w14:paraId="7FBF3E7C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857302" w:rsidRPr="002A0A87" w:rsidP="00857302" w14:paraId="66CD2656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57302" w:rsidRPr="002A0A87" w:rsidP="00857302" w14:paraId="6744A4D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857302" w:rsidRPr="002A0A87" w:rsidP="00857302" w14:paraId="4F7549D0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MÁRCIO EVANDRO RIBEIRO</w:t>
      </w:r>
    </w:p>
    <w:p w:rsidR="00857302" w:rsidP="00857302" w14:paraId="619D8BC0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857302" w:rsidRPr="009B3008" w:rsidP="00857302" w14:paraId="740720C2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857302" w:rsidRPr="002A0A87" w:rsidP="00857302" w14:paraId="5080B4C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857302" w:rsidRPr="002A0A87" w:rsidP="00857302" w14:paraId="74A40B55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857302" w:rsidRPr="002A0A87" w:rsidP="00857302" w14:paraId="5453C24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857302" w:rsidP="00857302" w14:paraId="2C51D8B8" w14:textId="77777777">
      <w:pPr>
        <w:pStyle w:val="NormalWeb"/>
        <w:spacing w:before="0" w:beforeAutospacing="0" w:line="360" w:lineRule="auto"/>
        <w:jc w:val="both"/>
      </w:pPr>
    </w:p>
    <w:p w:rsidR="00857302" w:rsidRPr="002A0A87" w:rsidP="00857302" w14:paraId="5AF3CF07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COMISSÃO DE FINANÇAS E ORÇAMENTO</w:t>
      </w:r>
    </w:p>
    <w:p w:rsidR="00857302" w:rsidRPr="002A0A87" w:rsidP="00857302" w14:paraId="565A249F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57302" w:rsidRPr="002A0A87" w:rsidP="00857302" w14:paraId="5B3BC2E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57302" w:rsidRPr="002A0A87" w:rsidP="00857302" w14:paraId="1EAFE06C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857302" w:rsidRPr="002A0A87" w:rsidP="00857302" w14:paraId="5C4148E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VEREADORA MARA CRISTINA CHOQUETTA</w:t>
      </w:r>
    </w:p>
    <w:p w:rsidR="00857302" w:rsidRPr="002A0A87" w:rsidP="00857302" w14:paraId="4F97A70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Presidente</w:t>
      </w:r>
    </w:p>
    <w:p w:rsidR="00857302" w:rsidRPr="002A0A87" w:rsidP="00857302" w14:paraId="07F0A0B3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57302" w:rsidRPr="002A0A87" w:rsidP="00857302" w14:paraId="3551B9FC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857302" w:rsidP="00857302" w14:paraId="1B58D2EA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MÁRCIO DENER CORAN</w:t>
      </w:r>
    </w:p>
    <w:p w:rsidR="00857302" w:rsidRPr="002A0A87" w:rsidP="00857302" w14:paraId="39A010BB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857302" w:rsidRPr="002A0A87" w:rsidP="00857302" w14:paraId="4CAEB8D7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857302" w:rsidRPr="002A0A87" w:rsidP="00857302" w14:paraId="65F5E0F3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857302" w:rsidRPr="002A0A87" w:rsidP="00857302" w14:paraId="24C3CA1B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857302" w:rsidRPr="00485A1F" w:rsidP="00857302" w14:paraId="062D4302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857302" w:rsidRPr="002A0A87" w:rsidP="00857302" w14:paraId="117044FF" w14:textId="77777777">
      <w:pPr>
        <w:pStyle w:val="NormalWeb"/>
        <w:spacing w:before="0" w:beforeAutospacing="0" w:line="360" w:lineRule="auto"/>
        <w:jc w:val="both"/>
      </w:pPr>
    </w:p>
    <w:p w:rsidR="00857302" w:rsidRPr="002A0A87" w:rsidP="00996888" w14:paraId="28C419E2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C295B"/>
    <w:multiLevelType w:val="hybridMultilevel"/>
    <w:tmpl w:val="7A186E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8"/>
  </w:num>
  <w:num w:numId="5">
    <w:abstractNumId w:val="14"/>
  </w:num>
  <w:num w:numId="6">
    <w:abstractNumId w:val="15"/>
  </w:num>
  <w:num w:numId="7">
    <w:abstractNumId w:val="4"/>
  </w:num>
  <w:num w:numId="8">
    <w:abstractNumId w:val="10"/>
  </w:num>
  <w:num w:numId="9">
    <w:abstractNumId w:val="7"/>
  </w:num>
  <w:num w:numId="10">
    <w:abstractNumId w:val="6"/>
  </w:num>
  <w:num w:numId="11">
    <w:abstractNumId w:val="5"/>
  </w:num>
  <w:num w:numId="12">
    <w:abstractNumId w:val="12"/>
  </w:num>
  <w:num w:numId="13">
    <w:abstractNumId w:val="1"/>
  </w:num>
  <w:num w:numId="14">
    <w:abstractNumId w:val="3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5C44"/>
    <w:rsid w:val="00021AB3"/>
    <w:rsid w:val="00021B2B"/>
    <w:rsid w:val="000255C2"/>
    <w:rsid w:val="00026797"/>
    <w:rsid w:val="00036279"/>
    <w:rsid w:val="00037531"/>
    <w:rsid w:val="00041A2D"/>
    <w:rsid w:val="00045A7A"/>
    <w:rsid w:val="000605C6"/>
    <w:rsid w:val="00064FC8"/>
    <w:rsid w:val="00070FE7"/>
    <w:rsid w:val="00071EF2"/>
    <w:rsid w:val="0008150E"/>
    <w:rsid w:val="00085365"/>
    <w:rsid w:val="00093424"/>
    <w:rsid w:val="000950D7"/>
    <w:rsid w:val="00096F36"/>
    <w:rsid w:val="000A1377"/>
    <w:rsid w:val="000A1BE0"/>
    <w:rsid w:val="000B39BB"/>
    <w:rsid w:val="000C3715"/>
    <w:rsid w:val="000E49AD"/>
    <w:rsid w:val="000F1F6F"/>
    <w:rsid w:val="000F4933"/>
    <w:rsid w:val="001118B9"/>
    <w:rsid w:val="00126AE5"/>
    <w:rsid w:val="0015590E"/>
    <w:rsid w:val="00173831"/>
    <w:rsid w:val="00174B34"/>
    <w:rsid w:val="00177254"/>
    <w:rsid w:val="0017789C"/>
    <w:rsid w:val="00181506"/>
    <w:rsid w:val="001874E0"/>
    <w:rsid w:val="00187FC6"/>
    <w:rsid w:val="00192536"/>
    <w:rsid w:val="001A23DA"/>
    <w:rsid w:val="001A3CE4"/>
    <w:rsid w:val="001A496B"/>
    <w:rsid w:val="001B679E"/>
    <w:rsid w:val="001B7303"/>
    <w:rsid w:val="001C2A28"/>
    <w:rsid w:val="001E2CEC"/>
    <w:rsid w:val="0020165D"/>
    <w:rsid w:val="00213987"/>
    <w:rsid w:val="00227E2C"/>
    <w:rsid w:val="00234376"/>
    <w:rsid w:val="00235385"/>
    <w:rsid w:val="002434FF"/>
    <w:rsid w:val="0025677C"/>
    <w:rsid w:val="00274CA1"/>
    <w:rsid w:val="0027672A"/>
    <w:rsid w:val="00290407"/>
    <w:rsid w:val="00291486"/>
    <w:rsid w:val="00297379"/>
    <w:rsid w:val="002A0A87"/>
    <w:rsid w:val="002A0B40"/>
    <w:rsid w:val="002A2BD3"/>
    <w:rsid w:val="002B07D1"/>
    <w:rsid w:val="002B71AC"/>
    <w:rsid w:val="002C46E0"/>
    <w:rsid w:val="002F3157"/>
    <w:rsid w:val="002F34B4"/>
    <w:rsid w:val="00301C69"/>
    <w:rsid w:val="00312103"/>
    <w:rsid w:val="003121C8"/>
    <w:rsid w:val="00314780"/>
    <w:rsid w:val="00314B47"/>
    <w:rsid w:val="00320B2A"/>
    <w:rsid w:val="00322469"/>
    <w:rsid w:val="00346786"/>
    <w:rsid w:val="00357196"/>
    <w:rsid w:val="00362E04"/>
    <w:rsid w:val="00363C2C"/>
    <w:rsid w:val="00365CA2"/>
    <w:rsid w:val="00370D25"/>
    <w:rsid w:val="00371A69"/>
    <w:rsid w:val="00374892"/>
    <w:rsid w:val="0038129E"/>
    <w:rsid w:val="00381BB4"/>
    <w:rsid w:val="00381C00"/>
    <w:rsid w:val="003826AE"/>
    <w:rsid w:val="00382F0D"/>
    <w:rsid w:val="003937AF"/>
    <w:rsid w:val="00393C7C"/>
    <w:rsid w:val="003A5737"/>
    <w:rsid w:val="003A796B"/>
    <w:rsid w:val="003B1A59"/>
    <w:rsid w:val="003C0608"/>
    <w:rsid w:val="003C6BCB"/>
    <w:rsid w:val="003D6D21"/>
    <w:rsid w:val="003F0B47"/>
    <w:rsid w:val="003F59C5"/>
    <w:rsid w:val="003F5AED"/>
    <w:rsid w:val="00405098"/>
    <w:rsid w:val="004104BF"/>
    <w:rsid w:val="004161CD"/>
    <w:rsid w:val="004345C0"/>
    <w:rsid w:val="00446FA1"/>
    <w:rsid w:val="00450020"/>
    <w:rsid w:val="00456770"/>
    <w:rsid w:val="00464667"/>
    <w:rsid w:val="004708F2"/>
    <w:rsid w:val="00485A1F"/>
    <w:rsid w:val="00497A43"/>
    <w:rsid w:val="004B1D43"/>
    <w:rsid w:val="004B4D5B"/>
    <w:rsid w:val="004B6AAD"/>
    <w:rsid w:val="004B6FDF"/>
    <w:rsid w:val="004D46DA"/>
    <w:rsid w:val="004E458F"/>
    <w:rsid w:val="004E6092"/>
    <w:rsid w:val="004F09E5"/>
    <w:rsid w:val="004F1B28"/>
    <w:rsid w:val="005242B1"/>
    <w:rsid w:val="00543E03"/>
    <w:rsid w:val="005559D9"/>
    <w:rsid w:val="0055728D"/>
    <w:rsid w:val="00561815"/>
    <w:rsid w:val="00571662"/>
    <w:rsid w:val="0057515A"/>
    <w:rsid w:val="00590AA1"/>
    <w:rsid w:val="0059215B"/>
    <w:rsid w:val="00595E79"/>
    <w:rsid w:val="005A235E"/>
    <w:rsid w:val="005B27A9"/>
    <w:rsid w:val="005B524F"/>
    <w:rsid w:val="005B5870"/>
    <w:rsid w:val="005B766F"/>
    <w:rsid w:val="005B7DA0"/>
    <w:rsid w:val="005D21C6"/>
    <w:rsid w:val="005D5E69"/>
    <w:rsid w:val="005E187F"/>
    <w:rsid w:val="005E491E"/>
    <w:rsid w:val="005F2654"/>
    <w:rsid w:val="005F4C80"/>
    <w:rsid w:val="005F4E55"/>
    <w:rsid w:val="005F54DA"/>
    <w:rsid w:val="00603CE4"/>
    <w:rsid w:val="006100F3"/>
    <w:rsid w:val="00610BA3"/>
    <w:rsid w:val="00613747"/>
    <w:rsid w:val="00620972"/>
    <w:rsid w:val="00624040"/>
    <w:rsid w:val="0065368B"/>
    <w:rsid w:val="006553FA"/>
    <w:rsid w:val="00655A35"/>
    <w:rsid w:val="006575C7"/>
    <w:rsid w:val="00657B9A"/>
    <w:rsid w:val="006707A1"/>
    <w:rsid w:val="006834FE"/>
    <w:rsid w:val="006853EB"/>
    <w:rsid w:val="006905CF"/>
    <w:rsid w:val="00697874"/>
    <w:rsid w:val="006A34B2"/>
    <w:rsid w:val="006A54A9"/>
    <w:rsid w:val="006A61B1"/>
    <w:rsid w:val="006A762A"/>
    <w:rsid w:val="006C0A02"/>
    <w:rsid w:val="006C2150"/>
    <w:rsid w:val="006D1946"/>
    <w:rsid w:val="006E3A0E"/>
    <w:rsid w:val="006F2D77"/>
    <w:rsid w:val="006F48DD"/>
    <w:rsid w:val="00700836"/>
    <w:rsid w:val="007038AD"/>
    <w:rsid w:val="0072322C"/>
    <w:rsid w:val="00725F41"/>
    <w:rsid w:val="00730F46"/>
    <w:rsid w:val="00746224"/>
    <w:rsid w:val="00747882"/>
    <w:rsid w:val="00753ABE"/>
    <w:rsid w:val="0075508B"/>
    <w:rsid w:val="007556D8"/>
    <w:rsid w:val="00760915"/>
    <w:rsid w:val="007725A9"/>
    <w:rsid w:val="007728E4"/>
    <w:rsid w:val="00774062"/>
    <w:rsid w:val="0078178E"/>
    <w:rsid w:val="00784CD4"/>
    <w:rsid w:val="00785E1B"/>
    <w:rsid w:val="00787BDF"/>
    <w:rsid w:val="007A08D1"/>
    <w:rsid w:val="007A2B84"/>
    <w:rsid w:val="007B2789"/>
    <w:rsid w:val="007B437F"/>
    <w:rsid w:val="007B6058"/>
    <w:rsid w:val="007C20C2"/>
    <w:rsid w:val="007C6029"/>
    <w:rsid w:val="007D4B66"/>
    <w:rsid w:val="007D715E"/>
    <w:rsid w:val="007D74A4"/>
    <w:rsid w:val="007E2CFA"/>
    <w:rsid w:val="007E3D67"/>
    <w:rsid w:val="007F0E8B"/>
    <w:rsid w:val="007F4221"/>
    <w:rsid w:val="007F77D9"/>
    <w:rsid w:val="00804434"/>
    <w:rsid w:val="0080664C"/>
    <w:rsid w:val="0081335D"/>
    <w:rsid w:val="00824488"/>
    <w:rsid w:val="00826AD6"/>
    <w:rsid w:val="008358AB"/>
    <w:rsid w:val="00842408"/>
    <w:rsid w:val="00855DD2"/>
    <w:rsid w:val="00857302"/>
    <w:rsid w:val="00863D24"/>
    <w:rsid w:val="00864928"/>
    <w:rsid w:val="00871C88"/>
    <w:rsid w:val="00881E60"/>
    <w:rsid w:val="008857D9"/>
    <w:rsid w:val="008905C2"/>
    <w:rsid w:val="008969DD"/>
    <w:rsid w:val="008A3797"/>
    <w:rsid w:val="008A537A"/>
    <w:rsid w:val="008A5D64"/>
    <w:rsid w:val="008C08C5"/>
    <w:rsid w:val="008C125D"/>
    <w:rsid w:val="008C4AA2"/>
    <w:rsid w:val="008E1495"/>
    <w:rsid w:val="008E3052"/>
    <w:rsid w:val="00902EE1"/>
    <w:rsid w:val="009048A2"/>
    <w:rsid w:val="00904ADF"/>
    <w:rsid w:val="00914ADC"/>
    <w:rsid w:val="00917024"/>
    <w:rsid w:val="0091719F"/>
    <w:rsid w:val="009203ED"/>
    <w:rsid w:val="00920A3F"/>
    <w:rsid w:val="00925E1A"/>
    <w:rsid w:val="00947C10"/>
    <w:rsid w:val="00962717"/>
    <w:rsid w:val="00963121"/>
    <w:rsid w:val="009709EF"/>
    <w:rsid w:val="0098102A"/>
    <w:rsid w:val="00996280"/>
    <w:rsid w:val="00996888"/>
    <w:rsid w:val="009B3008"/>
    <w:rsid w:val="009D2523"/>
    <w:rsid w:val="009D56B8"/>
    <w:rsid w:val="009D6B7C"/>
    <w:rsid w:val="00A00E3E"/>
    <w:rsid w:val="00A030E7"/>
    <w:rsid w:val="00A06A2D"/>
    <w:rsid w:val="00A12DD9"/>
    <w:rsid w:val="00A164DC"/>
    <w:rsid w:val="00A27446"/>
    <w:rsid w:val="00A32282"/>
    <w:rsid w:val="00A42C0E"/>
    <w:rsid w:val="00A4350D"/>
    <w:rsid w:val="00A479DE"/>
    <w:rsid w:val="00A53B79"/>
    <w:rsid w:val="00A53FAE"/>
    <w:rsid w:val="00A672C0"/>
    <w:rsid w:val="00A67DE2"/>
    <w:rsid w:val="00A71DDA"/>
    <w:rsid w:val="00A8132C"/>
    <w:rsid w:val="00A87E6C"/>
    <w:rsid w:val="00A92E38"/>
    <w:rsid w:val="00AA3B6E"/>
    <w:rsid w:val="00AB5A42"/>
    <w:rsid w:val="00AB7527"/>
    <w:rsid w:val="00AC11D7"/>
    <w:rsid w:val="00AC4214"/>
    <w:rsid w:val="00AC6E02"/>
    <w:rsid w:val="00AD2770"/>
    <w:rsid w:val="00AD416D"/>
    <w:rsid w:val="00AD7982"/>
    <w:rsid w:val="00AE3F8F"/>
    <w:rsid w:val="00AE52CD"/>
    <w:rsid w:val="00AE5858"/>
    <w:rsid w:val="00AF0C05"/>
    <w:rsid w:val="00AF3296"/>
    <w:rsid w:val="00AF4AC7"/>
    <w:rsid w:val="00AF5AEC"/>
    <w:rsid w:val="00B02DD1"/>
    <w:rsid w:val="00B11EBB"/>
    <w:rsid w:val="00B16011"/>
    <w:rsid w:val="00B22DA8"/>
    <w:rsid w:val="00B45DA1"/>
    <w:rsid w:val="00B46214"/>
    <w:rsid w:val="00B56BBF"/>
    <w:rsid w:val="00B57090"/>
    <w:rsid w:val="00B64D61"/>
    <w:rsid w:val="00B65347"/>
    <w:rsid w:val="00B74930"/>
    <w:rsid w:val="00B909E6"/>
    <w:rsid w:val="00BA48C7"/>
    <w:rsid w:val="00BB410F"/>
    <w:rsid w:val="00BC3AFA"/>
    <w:rsid w:val="00BD04BA"/>
    <w:rsid w:val="00BD2CA7"/>
    <w:rsid w:val="00BE41D6"/>
    <w:rsid w:val="00BE6938"/>
    <w:rsid w:val="00BF2A6F"/>
    <w:rsid w:val="00C0242A"/>
    <w:rsid w:val="00C06518"/>
    <w:rsid w:val="00C10154"/>
    <w:rsid w:val="00C20193"/>
    <w:rsid w:val="00C44A9F"/>
    <w:rsid w:val="00C50C70"/>
    <w:rsid w:val="00C74E3F"/>
    <w:rsid w:val="00C75973"/>
    <w:rsid w:val="00C8480D"/>
    <w:rsid w:val="00C92DC8"/>
    <w:rsid w:val="00CA4280"/>
    <w:rsid w:val="00CA4349"/>
    <w:rsid w:val="00CB5D49"/>
    <w:rsid w:val="00CC3E72"/>
    <w:rsid w:val="00CC71E4"/>
    <w:rsid w:val="00CD0899"/>
    <w:rsid w:val="00CF288D"/>
    <w:rsid w:val="00D05011"/>
    <w:rsid w:val="00D17E31"/>
    <w:rsid w:val="00D22C92"/>
    <w:rsid w:val="00D233F3"/>
    <w:rsid w:val="00D3208D"/>
    <w:rsid w:val="00D33D19"/>
    <w:rsid w:val="00D34450"/>
    <w:rsid w:val="00D467B6"/>
    <w:rsid w:val="00D500BC"/>
    <w:rsid w:val="00D52DAE"/>
    <w:rsid w:val="00D543E6"/>
    <w:rsid w:val="00D635A7"/>
    <w:rsid w:val="00D66197"/>
    <w:rsid w:val="00D735E2"/>
    <w:rsid w:val="00D80A2E"/>
    <w:rsid w:val="00D81BDB"/>
    <w:rsid w:val="00D842AA"/>
    <w:rsid w:val="00D84C9F"/>
    <w:rsid w:val="00D85714"/>
    <w:rsid w:val="00D9258F"/>
    <w:rsid w:val="00D95652"/>
    <w:rsid w:val="00DA7AB4"/>
    <w:rsid w:val="00DB5081"/>
    <w:rsid w:val="00DC32F0"/>
    <w:rsid w:val="00DC54F9"/>
    <w:rsid w:val="00DC6027"/>
    <w:rsid w:val="00DD1627"/>
    <w:rsid w:val="00DD52B7"/>
    <w:rsid w:val="00DE2A9A"/>
    <w:rsid w:val="00DF605F"/>
    <w:rsid w:val="00E11ECC"/>
    <w:rsid w:val="00E178A4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86533"/>
    <w:rsid w:val="00E9017B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7A74"/>
    <w:rsid w:val="00F10F57"/>
    <w:rsid w:val="00F13148"/>
    <w:rsid w:val="00F21F60"/>
    <w:rsid w:val="00F304D4"/>
    <w:rsid w:val="00F33776"/>
    <w:rsid w:val="00F424B1"/>
    <w:rsid w:val="00F42F8D"/>
    <w:rsid w:val="00F518B8"/>
    <w:rsid w:val="00F52B2B"/>
    <w:rsid w:val="00F54B63"/>
    <w:rsid w:val="00F55E24"/>
    <w:rsid w:val="00F6245E"/>
    <w:rsid w:val="00F6470D"/>
    <w:rsid w:val="00F7241A"/>
    <w:rsid w:val="00F729BD"/>
    <w:rsid w:val="00F733EC"/>
    <w:rsid w:val="00F74441"/>
    <w:rsid w:val="00F80A2B"/>
    <w:rsid w:val="00F83282"/>
    <w:rsid w:val="00F877CF"/>
    <w:rsid w:val="00F91A1F"/>
    <w:rsid w:val="00F921DB"/>
    <w:rsid w:val="00F972F9"/>
    <w:rsid w:val="00FA65BC"/>
    <w:rsid w:val="00FA7F42"/>
    <w:rsid w:val="00FB1668"/>
    <w:rsid w:val="00FD088C"/>
    <w:rsid w:val="00FD2743"/>
    <w:rsid w:val="00FD367D"/>
    <w:rsid w:val="00FD767A"/>
    <w:rsid w:val="00FE396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character" w:customStyle="1" w:styleId="Ttulo3Char">
    <w:name w:val="Título 3 Char"/>
    <w:basedOn w:val="DefaultParagraphFont"/>
    <w:link w:val="Heading3"/>
    <w:uiPriority w:val="9"/>
    <w:rsid w:val="002B07D1"/>
    <w:rPr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12</Pages>
  <Words>2859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Bianca</cp:lastModifiedBy>
  <cp:revision>16</cp:revision>
  <cp:lastPrinted>2025-02-18T14:53:00Z</cp:lastPrinted>
  <dcterms:created xsi:type="dcterms:W3CDTF">2025-11-27T12:12:00Z</dcterms:created>
  <dcterms:modified xsi:type="dcterms:W3CDTF">2025-12-12T17:40:00Z</dcterms:modified>
</cp:coreProperties>
</file>