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5EAE" w:rsidRPr="007C30A0" w:rsidP="007C30A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color w:val="000000"/>
          <w:sz w:val="24"/>
          <w:szCs w:val="24"/>
          <w:u w:val="single"/>
        </w:rPr>
      </w:pPr>
      <w:r w:rsidRPr="007C30A0">
        <w:rPr>
          <w:b/>
          <w:bCs/>
          <w:color w:val="000000"/>
          <w:sz w:val="24"/>
          <w:szCs w:val="24"/>
          <w:u w:val="single"/>
        </w:rPr>
        <w:t>PARECER CONJUNTO</w:t>
      </w:r>
    </w:p>
    <w:p w:rsidR="00EA5EAE" w:rsidRPr="007C30A0" w:rsidP="007C30A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:rsidR="00EA5EAE" w:rsidRPr="007C30A0" w:rsidP="007C30A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  <w:r w:rsidRPr="007C30A0">
        <w:rPr>
          <w:color w:val="000000"/>
          <w:sz w:val="24"/>
          <w:szCs w:val="24"/>
        </w:rPr>
        <w:t>COMISSÃO DE JUSTIÇA E REDAÇÃO</w:t>
      </w:r>
    </w:p>
    <w:p w:rsidR="00EA5EAE" w:rsidP="007C30A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  <w:r w:rsidRPr="007C30A0">
        <w:rPr>
          <w:color w:val="000000"/>
          <w:sz w:val="24"/>
          <w:szCs w:val="24"/>
        </w:rPr>
        <w:t>COMISSÃO DE FINANÇAS E ORÇAMENTO</w:t>
      </w:r>
    </w:p>
    <w:p w:rsidR="00FC6BAB" w:rsidRPr="00FC6BAB" w:rsidP="007C30A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Cs/>
          <w:color w:val="000000"/>
          <w:sz w:val="24"/>
          <w:szCs w:val="24"/>
        </w:rPr>
      </w:pPr>
      <w:r w:rsidRPr="00FC6BAB">
        <w:rPr>
          <w:bCs/>
          <w:color w:val="000000"/>
          <w:sz w:val="24"/>
          <w:szCs w:val="24"/>
        </w:rPr>
        <w:t xml:space="preserve">COMISSÃO </w:t>
      </w:r>
      <w:r w:rsidRPr="00FC6BAB">
        <w:rPr>
          <w:bCs/>
          <w:color w:val="000000"/>
          <w:sz w:val="24"/>
          <w:szCs w:val="24"/>
        </w:rPr>
        <w:t>DE OBRAS, SERVIÇOS PÚBLICOS E ATIVIDADES PRIVADAS</w:t>
      </w:r>
    </w:p>
    <w:p w:rsidR="00EA5EAE" w:rsidRPr="007C30A0" w:rsidP="007C30A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:rsidR="004D1D92" w:rsidRPr="007C30A0" w:rsidP="007C30A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center"/>
        <w:rPr>
          <w:b/>
          <w:bCs/>
          <w:color w:val="404040"/>
          <w:sz w:val="24"/>
          <w:szCs w:val="24"/>
        </w:rPr>
      </w:pPr>
      <w:r w:rsidRPr="007C30A0">
        <w:rPr>
          <w:b/>
          <w:bCs/>
          <w:color w:val="404040"/>
          <w:sz w:val="24"/>
          <w:szCs w:val="24"/>
        </w:rPr>
        <w:t>PROJETO DE LEI COMPLEMENTAR Nº 29 DE 2025</w:t>
      </w:r>
    </w:p>
    <w:p w:rsidR="004D1D92" w:rsidRPr="007C30A0" w:rsidP="007C30A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i/>
          <w:iCs/>
          <w:color w:val="434343"/>
          <w:sz w:val="24"/>
          <w:szCs w:val="24"/>
        </w:rPr>
      </w:pPr>
      <w:bookmarkStart w:id="0" w:name="_heading=h.bbtwy3zi17ho" w:colFirst="0" w:colLast="0"/>
      <w:bookmarkEnd w:id="0"/>
      <w:r w:rsidRPr="007C30A0">
        <w:rPr>
          <w:i/>
          <w:iCs/>
          <w:color w:val="434343"/>
          <w:sz w:val="24"/>
          <w:szCs w:val="24"/>
        </w:rPr>
        <w:t>“Altera a lei complementar nº 206, de 27 de dezembro de 2006, que dispõe sobre a reorganização administrativa e a reestruturação do quadro de pessoal com plano de empregos, carreira e salários do serviço autônomo de água e esgotos de Mogi Mirim (</w:t>
      </w:r>
      <w:r w:rsidRPr="007C30A0">
        <w:rPr>
          <w:i/>
          <w:iCs/>
          <w:color w:val="434343"/>
          <w:sz w:val="24"/>
          <w:szCs w:val="24"/>
        </w:rPr>
        <w:t>SAAE)”</w:t>
      </w:r>
      <w:r w:rsidRPr="007C30A0">
        <w:rPr>
          <w:i/>
          <w:iCs/>
          <w:color w:val="434343"/>
          <w:sz w:val="24"/>
          <w:szCs w:val="24"/>
        </w:rPr>
        <w:t>.</w:t>
      </w:r>
    </w:p>
    <w:p w:rsidR="004D1D92" w:rsidRPr="007C30A0" w:rsidP="007C30A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b/>
          <w:bCs/>
          <w:color w:val="404040"/>
          <w:sz w:val="24"/>
          <w:szCs w:val="24"/>
        </w:rPr>
      </w:pPr>
      <w:r w:rsidRPr="007C30A0">
        <w:rPr>
          <w:b/>
          <w:bCs/>
          <w:color w:val="404040"/>
          <w:sz w:val="24"/>
          <w:szCs w:val="24"/>
        </w:rPr>
        <w:t>RE</w:t>
      </w:r>
      <w:r w:rsidRPr="007C30A0">
        <w:rPr>
          <w:b/>
          <w:bCs/>
          <w:color w:val="404040"/>
          <w:sz w:val="24"/>
          <w:szCs w:val="24"/>
        </w:rPr>
        <w:t>LATOR: VEREADOR JOÃO VICTOR GASPARINI</w:t>
      </w:r>
    </w:p>
    <w:p w:rsidR="004D1D92" w:rsidRPr="007C30A0" w:rsidP="007C30A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4D1D92" w:rsidRPr="007C30A0" w:rsidP="007C30A0">
      <w:pPr>
        <w:pStyle w:val="Heading3"/>
        <w:numPr>
          <w:ilvl w:val="0"/>
          <w:numId w:val="3"/>
        </w:numPr>
        <w:spacing w:line="360" w:lineRule="auto"/>
        <w:jc w:val="both"/>
        <w:rPr>
          <w:color w:val="404040"/>
          <w:sz w:val="24"/>
          <w:szCs w:val="24"/>
        </w:rPr>
      </w:pPr>
      <w:r w:rsidRPr="007C30A0">
        <w:rPr>
          <w:color w:val="404040"/>
          <w:sz w:val="24"/>
          <w:szCs w:val="24"/>
        </w:rPr>
        <w:t>EXPOSIÇÃO DA MATÉRIA EM EXAME</w:t>
      </w:r>
    </w:p>
    <w:p w:rsidR="004D1D92" w:rsidRPr="007C30A0" w:rsidP="007C30A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sz w:val="24"/>
          <w:szCs w:val="24"/>
        </w:rPr>
      </w:pPr>
      <w:r w:rsidRPr="007C30A0">
        <w:rPr>
          <w:color w:val="404040"/>
          <w:sz w:val="24"/>
          <w:szCs w:val="24"/>
        </w:rPr>
        <w:tab/>
      </w:r>
      <w:r w:rsidRPr="007C30A0">
        <w:rPr>
          <w:color w:val="000000"/>
          <w:sz w:val="24"/>
          <w:szCs w:val="24"/>
        </w:rPr>
        <w:t xml:space="preserve">Submete-se à apreciação desta Comissão de Justiça e Redação o Projeto de Lei </w:t>
      </w:r>
      <w:r w:rsidRPr="007C30A0">
        <w:rPr>
          <w:sz w:val="24"/>
          <w:szCs w:val="24"/>
        </w:rPr>
        <w:t>Complementar</w:t>
      </w:r>
      <w:r w:rsidRPr="007C30A0">
        <w:rPr>
          <w:color w:val="000000"/>
          <w:sz w:val="24"/>
          <w:szCs w:val="24"/>
        </w:rPr>
        <w:t xml:space="preserve"> nº </w:t>
      </w:r>
      <w:r w:rsidRPr="007C30A0">
        <w:rPr>
          <w:sz w:val="24"/>
          <w:szCs w:val="24"/>
        </w:rPr>
        <w:t>29</w:t>
      </w:r>
      <w:r w:rsidRPr="007C30A0">
        <w:rPr>
          <w:color w:val="000000"/>
          <w:sz w:val="24"/>
          <w:szCs w:val="24"/>
        </w:rPr>
        <w:t xml:space="preserve">/2025, de autoria do Prefeito Municipal Paulo de Oliveira e Silva, </w:t>
      </w:r>
      <w:r w:rsidRPr="007C30A0">
        <w:rPr>
          <w:sz w:val="24"/>
          <w:szCs w:val="24"/>
        </w:rPr>
        <w:t>a qual trata da reorgan</w:t>
      </w:r>
      <w:r w:rsidRPr="007C30A0">
        <w:rPr>
          <w:sz w:val="24"/>
          <w:szCs w:val="24"/>
        </w:rPr>
        <w:t>ização administrativa, do quadro de pessoal, do plano de empregos, carreiras e salários do Serviço Autônomo de Água e Esgotos de Mogi Mirim (SAAE).</w:t>
      </w:r>
    </w:p>
    <w:p w:rsidR="004D1D92" w:rsidRPr="007C30A0" w:rsidP="007C30A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sz w:val="24"/>
          <w:szCs w:val="24"/>
        </w:rPr>
      </w:pPr>
      <w:r w:rsidRPr="007C30A0">
        <w:rPr>
          <w:sz w:val="24"/>
          <w:szCs w:val="24"/>
        </w:rPr>
        <w:tab/>
      </w:r>
      <w:r w:rsidRPr="007C30A0">
        <w:rPr>
          <w:sz w:val="24"/>
          <w:szCs w:val="24"/>
        </w:rPr>
        <w:t>O projeto promove modificações estruturais relevantes, com substituição de anexos, ajustes no organograma, reestruturação de empregos efetivos, cargos em comissão e funções gratificadas, bem como atualização de referências e atribuições funcionais.</w:t>
      </w:r>
    </w:p>
    <w:p w:rsidR="004D1D92" w:rsidRPr="007C30A0" w:rsidP="007C30A0">
      <w:pPr>
        <w:spacing w:after="160" w:line="360" w:lineRule="auto"/>
        <w:ind w:firstLine="720"/>
        <w:jc w:val="both"/>
        <w:rPr>
          <w:sz w:val="24"/>
          <w:szCs w:val="24"/>
        </w:rPr>
      </w:pPr>
      <w:r w:rsidRPr="007C30A0">
        <w:rPr>
          <w:sz w:val="24"/>
          <w:szCs w:val="24"/>
        </w:rPr>
        <w:t>No curs</w:t>
      </w:r>
      <w:r w:rsidRPr="007C30A0">
        <w:rPr>
          <w:sz w:val="24"/>
          <w:szCs w:val="24"/>
        </w:rPr>
        <w:t xml:space="preserve">o da tramitação legislativa, o Chefe do Poder Executivo encaminhou Mensagem Modificativa, por meio da qual propõe ajustes pontuais ao texto originalmente apresentado, notadamente para assegurar a aplicação da revisão geral anual aos vencimentos dos cargos </w:t>
      </w:r>
      <w:r w:rsidRPr="007C30A0">
        <w:rPr>
          <w:sz w:val="24"/>
          <w:szCs w:val="24"/>
        </w:rPr>
        <w:t>em comissão e aos valores das funções gratificadas, além de revogar o Anexo XIII da legislação vigente.</w:t>
      </w:r>
    </w:p>
    <w:p w:rsidR="004D1D92" w:rsidRPr="007C30A0" w:rsidP="007C30A0">
      <w:pPr>
        <w:spacing w:after="160" w:line="360" w:lineRule="auto"/>
        <w:ind w:firstLine="720"/>
        <w:jc w:val="both"/>
        <w:rPr>
          <w:sz w:val="24"/>
          <w:szCs w:val="24"/>
        </w:rPr>
      </w:pPr>
      <w:r w:rsidRPr="007C30A0">
        <w:rPr>
          <w:sz w:val="24"/>
          <w:szCs w:val="24"/>
        </w:rPr>
        <w:t>Compete a esta Comissão manifestar-se quanto aos aspectos de constitucionalidade, legalidade e técnica legislativa, nos termos do Regimento Interno da C</w:t>
      </w:r>
      <w:r w:rsidRPr="007C30A0">
        <w:rPr>
          <w:sz w:val="24"/>
          <w:szCs w:val="24"/>
        </w:rPr>
        <w:t>âmara Municipal</w:t>
      </w:r>
    </w:p>
    <w:p w:rsidR="004D1D92" w:rsidRPr="007C30A0" w:rsidP="007C30A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4D1D92" w:rsidRPr="007C30A0" w:rsidP="007C30A0">
      <w:pPr>
        <w:pStyle w:val="Heading3"/>
        <w:numPr>
          <w:ilvl w:val="0"/>
          <w:numId w:val="3"/>
        </w:numPr>
        <w:spacing w:line="360" w:lineRule="auto"/>
        <w:jc w:val="both"/>
        <w:rPr>
          <w:color w:val="404040"/>
          <w:sz w:val="24"/>
          <w:szCs w:val="24"/>
        </w:rPr>
      </w:pPr>
      <w:r w:rsidRPr="007C30A0">
        <w:rPr>
          <w:color w:val="404040"/>
          <w:sz w:val="24"/>
          <w:szCs w:val="24"/>
        </w:rPr>
        <w:t>CONCLUSÕES DO RELATOR</w:t>
      </w:r>
    </w:p>
    <w:p w:rsidR="004D1D92" w:rsidRPr="007C30A0" w:rsidP="007C30A0">
      <w:pPr>
        <w:spacing w:line="360" w:lineRule="auto"/>
        <w:jc w:val="both"/>
        <w:rPr>
          <w:sz w:val="24"/>
          <w:szCs w:val="24"/>
        </w:rPr>
      </w:pPr>
    </w:p>
    <w:p w:rsidR="004D1D92" w:rsidRPr="007C30A0" w:rsidP="007C30A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bCs/>
          <w:color w:val="000000"/>
          <w:sz w:val="24"/>
          <w:szCs w:val="24"/>
        </w:rPr>
      </w:pPr>
      <w:r w:rsidRPr="007C30A0">
        <w:rPr>
          <w:b/>
          <w:bCs/>
          <w:color w:val="000000"/>
          <w:sz w:val="24"/>
          <w:szCs w:val="24"/>
        </w:rPr>
        <w:t>Competência legislativa e iniciativa</w:t>
      </w:r>
    </w:p>
    <w:p w:rsidR="004D1D92" w:rsidRPr="007C30A0" w:rsidP="007C30A0">
      <w:pPr>
        <w:spacing w:before="280" w:after="280" w:line="360" w:lineRule="auto"/>
        <w:jc w:val="both"/>
        <w:rPr>
          <w:sz w:val="24"/>
          <w:szCs w:val="24"/>
        </w:rPr>
      </w:pPr>
      <w:r w:rsidRPr="007C30A0">
        <w:rPr>
          <w:sz w:val="24"/>
          <w:szCs w:val="24"/>
        </w:rPr>
        <w:tab/>
      </w:r>
      <w:r w:rsidRPr="007C30A0">
        <w:rPr>
          <w:sz w:val="24"/>
          <w:szCs w:val="24"/>
        </w:rPr>
        <w:t>O projeto promove modificações estruturais relevantes, com substituição de anexos, ajustes no organograma, reestruturação de empregos efetivos, cargos em comissão e funções gratificadas, bem como atualização de referências e atribuições funcionais.</w:t>
      </w:r>
    </w:p>
    <w:p w:rsidR="004D1D92" w:rsidRPr="007C30A0" w:rsidP="007C30A0">
      <w:pPr>
        <w:spacing w:after="160" w:line="360" w:lineRule="auto"/>
        <w:ind w:firstLine="720"/>
        <w:jc w:val="both"/>
        <w:rPr>
          <w:sz w:val="24"/>
          <w:szCs w:val="24"/>
        </w:rPr>
      </w:pPr>
      <w:r w:rsidRPr="007C30A0">
        <w:rPr>
          <w:sz w:val="24"/>
          <w:szCs w:val="24"/>
        </w:rPr>
        <w:t>No curs</w:t>
      </w:r>
      <w:r w:rsidRPr="007C30A0">
        <w:rPr>
          <w:sz w:val="24"/>
          <w:szCs w:val="24"/>
        </w:rPr>
        <w:t xml:space="preserve">o da tramitação legislativa, o Chefe do Poder Executivo encaminhou Mensagem Modificativa, por meio da qual propõe ajustes pontuais ao texto originalmente apresentado, notadamente para assegurar a aplicação da revisão geral anual aos vencimentos dos cargos </w:t>
      </w:r>
      <w:r w:rsidRPr="007C30A0">
        <w:rPr>
          <w:sz w:val="24"/>
          <w:szCs w:val="24"/>
        </w:rPr>
        <w:t>em comissão e aos valores das funções gratificadas, além de revogar o Anexo XIII da legislação vigente.</w:t>
      </w:r>
    </w:p>
    <w:p w:rsidR="004D1D92" w:rsidRPr="007C30A0" w:rsidP="007C30A0">
      <w:pPr>
        <w:spacing w:after="160" w:line="360" w:lineRule="auto"/>
        <w:ind w:firstLine="720"/>
        <w:jc w:val="both"/>
        <w:rPr>
          <w:sz w:val="24"/>
          <w:szCs w:val="24"/>
        </w:rPr>
      </w:pPr>
      <w:r w:rsidRPr="007C30A0">
        <w:rPr>
          <w:sz w:val="24"/>
          <w:szCs w:val="24"/>
        </w:rPr>
        <w:t>Compete a esta Comissão manifestar-se quanto aos aspectos de constitucionalidade, legalidade e técnica legislativa, nos termos do Regimento Interno da C</w:t>
      </w:r>
      <w:r w:rsidRPr="007C30A0">
        <w:rPr>
          <w:sz w:val="24"/>
          <w:szCs w:val="24"/>
        </w:rPr>
        <w:t>âmara Municipal</w:t>
      </w:r>
    </w:p>
    <w:p w:rsidR="004D1D92" w:rsidRPr="007C30A0" w:rsidP="007C30A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b/>
          <w:bCs/>
          <w:color w:val="000000"/>
          <w:sz w:val="24"/>
          <w:szCs w:val="24"/>
        </w:rPr>
      </w:pPr>
      <w:r w:rsidRPr="007C30A0">
        <w:rPr>
          <w:b/>
          <w:bCs/>
          <w:color w:val="000000"/>
          <w:sz w:val="24"/>
          <w:szCs w:val="24"/>
        </w:rPr>
        <w:t>Materialidade da proposta</w:t>
      </w:r>
    </w:p>
    <w:p w:rsidR="004D1D92" w:rsidRPr="007C30A0" w:rsidP="007C30A0">
      <w:pPr>
        <w:spacing w:before="280" w:after="280" w:line="360" w:lineRule="auto"/>
        <w:jc w:val="both"/>
        <w:rPr>
          <w:sz w:val="24"/>
          <w:szCs w:val="24"/>
        </w:rPr>
      </w:pPr>
      <w:r w:rsidRPr="007C30A0">
        <w:rPr>
          <w:sz w:val="24"/>
          <w:szCs w:val="24"/>
        </w:rPr>
        <w:tab/>
        <w:t>No aspecto material, o projeto promove reorganização administrativa do SAAE, com criação, unificação e redefinição de empregos efetivos, além de ajustes nos cargos em comissão e funções gratificadas</w:t>
      </w:r>
    </w:p>
    <w:p w:rsidR="004D1D92" w:rsidRPr="007C30A0" w:rsidP="007C30A0">
      <w:pPr>
        <w:spacing w:before="280" w:after="280" w:line="360" w:lineRule="auto"/>
        <w:ind w:firstLine="720"/>
        <w:jc w:val="both"/>
        <w:rPr>
          <w:sz w:val="24"/>
          <w:szCs w:val="24"/>
        </w:rPr>
      </w:pPr>
      <w:r w:rsidRPr="007C30A0">
        <w:rPr>
          <w:sz w:val="24"/>
          <w:szCs w:val="24"/>
        </w:rPr>
        <w:t xml:space="preserve">A Constituição Federal, em seu art. 37, inciso V, estabelece que os cargos em comissão </w:t>
      </w:r>
      <w:r w:rsidRPr="007C30A0">
        <w:rPr>
          <w:sz w:val="24"/>
          <w:szCs w:val="24"/>
        </w:rPr>
        <w:t>destinam-se</w:t>
      </w:r>
      <w:r w:rsidRPr="007C30A0">
        <w:rPr>
          <w:sz w:val="24"/>
          <w:szCs w:val="24"/>
        </w:rPr>
        <w:t xml:space="preserve"> exclusivamente às atribuições de direção, chefia e assessoramento, sendo vedada sua utilização para o desempenho de atividades técnicas, operacionais ou buro</w:t>
      </w:r>
      <w:r w:rsidRPr="007C30A0">
        <w:rPr>
          <w:sz w:val="24"/>
          <w:szCs w:val="24"/>
        </w:rPr>
        <w:t>cráticas permanentes.</w:t>
      </w:r>
    </w:p>
    <w:p w:rsidR="004D1D92" w:rsidRPr="007C30A0" w:rsidP="007C30A0">
      <w:pPr>
        <w:spacing w:after="160" w:line="360" w:lineRule="auto"/>
        <w:ind w:firstLine="720"/>
        <w:jc w:val="both"/>
        <w:rPr>
          <w:sz w:val="24"/>
          <w:szCs w:val="24"/>
        </w:rPr>
      </w:pPr>
      <w:r w:rsidRPr="007C30A0">
        <w:rPr>
          <w:sz w:val="24"/>
          <w:szCs w:val="24"/>
        </w:rPr>
        <w:t xml:space="preserve">O Supremo Tribunal Federal, ao julgar o Tema 1010 da Repercussão Geral, firmou entendimento de que é inconstitucional a criação de cargos em comissão para funções técnicas </w:t>
      </w:r>
      <w:r w:rsidRPr="007C30A0">
        <w:rPr>
          <w:sz w:val="24"/>
          <w:szCs w:val="24"/>
        </w:rPr>
        <w:t xml:space="preserve">ou operacionais, exigindo-se compatibilidade material entre a </w:t>
      </w:r>
      <w:r w:rsidRPr="007C30A0">
        <w:rPr>
          <w:sz w:val="24"/>
          <w:szCs w:val="24"/>
        </w:rPr>
        <w:t>natureza do cargo e as atribuições exercidas.</w:t>
      </w:r>
    </w:p>
    <w:p w:rsidR="004D1D92" w:rsidRPr="007C30A0" w:rsidP="007C30A0">
      <w:pPr>
        <w:spacing w:after="160" w:line="360" w:lineRule="auto"/>
        <w:ind w:firstLine="720"/>
        <w:jc w:val="both"/>
        <w:rPr>
          <w:sz w:val="24"/>
          <w:szCs w:val="24"/>
        </w:rPr>
      </w:pPr>
      <w:r w:rsidRPr="007C30A0">
        <w:rPr>
          <w:sz w:val="24"/>
          <w:szCs w:val="24"/>
        </w:rPr>
        <w:t>À vista disso, a análise dos anexos e descrições funcionais constantes do projeto revela, em linhas gerais, adequação à orientação constitucional, especialmente pela manutenção do núcleo técnico-operacional sob</w:t>
      </w:r>
      <w:r w:rsidRPr="007C30A0">
        <w:rPr>
          <w:sz w:val="24"/>
          <w:szCs w:val="24"/>
        </w:rPr>
        <w:t xml:space="preserve"> empregos efetivos. Todavia, recomenda-se atenção especial na consolidação final dos anexos, a fim de assegurar que as atribuições dos cargos em comissão permaneçam estritamente vinculadas às funções de direção, chefia ou assessoramento, prevenindo questio</w:t>
      </w:r>
      <w:r w:rsidRPr="007C30A0">
        <w:rPr>
          <w:sz w:val="24"/>
          <w:szCs w:val="24"/>
        </w:rPr>
        <w:t>namentos futuros em sede de controle de constitucionalidade ou de fiscalização externa.</w:t>
      </w:r>
    </w:p>
    <w:p w:rsidR="004D1D92" w:rsidRPr="007C30A0" w:rsidP="007C30A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b/>
          <w:bCs/>
          <w:color w:val="000000"/>
          <w:sz w:val="24"/>
          <w:szCs w:val="24"/>
        </w:rPr>
      </w:pPr>
      <w:r w:rsidRPr="007C30A0">
        <w:rPr>
          <w:b/>
          <w:bCs/>
          <w:sz w:val="24"/>
          <w:szCs w:val="24"/>
        </w:rPr>
        <w:t>Revisão geral anual e compatibilidade constitucional</w:t>
      </w:r>
    </w:p>
    <w:p w:rsidR="004D1D92" w:rsidRPr="007C30A0" w:rsidP="007C30A0">
      <w:pPr>
        <w:spacing w:before="280" w:after="280" w:line="360" w:lineRule="auto"/>
        <w:jc w:val="both"/>
        <w:rPr>
          <w:sz w:val="24"/>
          <w:szCs w:val="24"/>
        </w:rPr>
      </w:pPr>
      <w:r w:rsidRPr="007C30A0">
        <w:rPr>
          <w:sz w:val="24"/>
          <w:szCs w:val="24"/>
        </w:rPr>
        <w:tab/>
        <w:t>A Mensagem Modificativa introduz dispositivos que asseguram a aplicação da revisão geral anual aos vencimentos dos</w:t>
      </w:r>
      <w:r w:rsidRPr="007C30A0">
        <w:rPr>
          <w:sz w:val="24"/>
          <w:szCs w:val="24"/>
        </w:rPr>
        <w:t xml:space="preserve"> cargos em comissão e às funções gratificadas do SAAE, em consonância com os índices aplicados aos servidores do quadro permanente.</w:t>
      </w:r>
    </w:p>
    <w:p w:rsidR="004D1D92" w:rsidRPr="007C30A0" w:rsidP="007C30A0">
      <w:pPr>
        <w:spacing w:after="160" w:line="360" w:lineRule="auto"/>
        <w:ind w:firstLine="720"/>
        <w:jc w:val="both"/>
        <w:rPr>
          <w:sz w:val="24"/>
          <w:szCs w:val="24"/>
        </w:rPr>
      </w:pPr>
      <w:r w:rsidRPr="007C30A0">
        <w:rPr>
          <w:sz w:val="24"/>
          <w:szCs w:val="24"/>
        </w:rPr>
        <w:t xml:space="preserve">O Supremo Tribunal Federal, ao apreciar o Tema 19 da Repercussão Geral, assentou que a revisão geral anual prevista no art. </w:t>
      </w:r>
      <w:r w:rsidRPr="007C30A0">
        <w:rPr>
          <w:sz w:val="24"/>
          <w:szCs w:val="24"/>
        </w:rPr>
        <w:t>37, X, da Constituição Federal depende de iniciativa do Chefe do Poder Executivo e de disponibilidade orçamentária, não configurando direito subjetivo automático ao reajuste, mas impondo ao Executivo o dever de tratar a matéria de forma motivada e responsá</w:t>
      </w:r>
      <w:r w:rsidRPr="007C30A0">
        <w:rPr>
          <w:sz w:val="24"/>
          <w:szCs w:val="24"/>
        </w:rPr>
        <w:t>vel.</w:t>
      </w:r>
    </w:p>
    <w:p w:rsidR="004D1D92" w:rsidRPr="007C30A0" w:rsidP="007C30A0">
      <w:pPr>
        <w:spacing w:after="160" w:line="360" w:lineRule="auto"/>
        <w:ind w:firstLine="720"/>
        <w:jc w:val="both"/>
        <w:rPr>
          <w:sz w:val="24"/>
          <w:szCs w:val="24"/>
        </w:rPr>
      </w:pPr>
      <w:r w:rsidRPr="007C30A0">
        <w:rPr>
          <w:sz w:val="24"/>
          <w:szCs w:val="24"/>
        </w:rPr>
        <w:t>Nesse contexto, a opção legislativa do Executivo Municipal de disciplinar expressamente a revisão geral anual no âmbito da autarquia revela-se compatível com a Constituição Federal, desde que sua implementação observe os limites fiscais e orçamentário</w:t>
      </w:r>
      <w:r w:rsidRPr="007C30A0">
        <w:rPr>
          <w:sz w:val="24"/>
          <w:szCs w:val="24"/>
        </w:rPr>
        <w:t>s estabelecidos pela legislação vigente.</w:t>
      </w:r>
    </w:p>
    <w:p w:rsidR="004D1D92" w:rsidRPr="007C30A0" w:rsidP="007C30A0">
      <w:pPr>
        <w:pStyle w:val="Heading3"/>
        <w:keepNext w:val="0"/>
        <w:keepLines w:val="0"/>
        <w:numPr>
          <w:ilvl w:val="0"/>
          <w:numId w:val="4"/>
        </w:numPr>
        <w:spacing w:before="0" w:after="160" w:line="360" w:lineRule="auto"/>
        <w:jc w:val="both"/>
        <w:rPr>
          <w:sz w:val="24"/>
          <w:szCs w:val="24"/>
        </w:rPr>
      </w:pPr>
      <w:bookmarkStart w:id="1" w:name="_heading=h.92x77maca1k3" w:colFirst="0" w:colLast="0"/>
      <w:bookmarkEnd w:id="1"/>
      <w:r w:rsidRPr="007C30A0">
        <w:rPr>
          <w:sz w:val="24"/>
          <w:szCs w:val="24"/>
        </w:rPr>
        <w:t>Responsabilidade fiscal e instrução do processo legislativo</w:t>
      </w:r>
    </w:p>
    <w:p w:rsidR="004D1D92" w:rsidRPr="007C30A0" w:rsidP="007C30A0">
      <w:pPr>
        <w:spacing w:line="360" w:lineRule="auto"/>
        <w:jc w:val="both"/>
        <w:rPr>
          <w:sz w:val="24"/>
          <w:szCs w:val="24"/>
        </w:rPr>
      </w:pPr>
    </w:p>
    <w:p w:rsidR="004D1D92" w:rsidRPr="007C30A0" w:rsidP="007C30A0">
      <w:pPr>
        <w:spacing w:after="160" w:line="360" w:lineRule="auto"/>
        <w:ind w:firstLine="720"/>
        <w:jc w:val="both"/>
        <w:rPr>
          <w:sz w:val="24"/>
          <w:szCs w:val="24"/>
        </w:rPr>
      </w:pPr>
      <w:r w:rsidRPr="007C30A0">
        <w:rPr>
          <w:sz w:val="24"/>
          <w:szCs w:val="24"/>
        </w:rPr>
        <w:t>Embora não se identifique inconstitucionalidade no mérito da proposta, esta Comissão ressalta que o projeto envolve potencial impacto financeiro permanent</w:t>
      </w:r>
      <w:r w:rsidRPr="007C30A0">
        <w:rPr>
          <w:sz w:val="24"/>
          <w:szCs w:val="24"/>
        </w:rPr>
        <w:t>e, decorrente da reorganização do quadro de pessoal e da política remuneratória.</w:t>
      </w:r>
    </w:p>
    <w:p w:rsidR="004D1D92" w:rsidRPr="007C30A0" w:rsidP="007C30A0">
      <w:pPr>
        <w:spacing w:after="160" w:line="360" w:lineRule="auto"/>
        <w:ind w:firstLine="720"/>
        <w:jc w:val="both"/>
        <w:rPr>
          <w:sz w:val="24"/>
          <w:szCs w:val="24"/>
        </w:rPr>
      </w:pPr>
      <w:r w:rsidRPr="007C30A0">
        <w:rPr>
          <w:sz w:val="24"/>
          <w:szCs w:val="24"/>
        </w:rPr>
        <w:t>A Lei Complementar nº 101/2000 (Lei de Responsabilidade Fiscal) exige que proposições dessa natureza estejam acompanhadas de estimativa do impacto orçamentário-financeiro, bem</w:t>
      </w:r>
      <w:r w:rsidRPr="007C30A0">
        <w:rPr>
          <w:sz w:val="24"/>
          <w:szCs w:val="24"/>
        </w:rPr>
        <w:t xml:space="preserve"> como de declaração de compatibilidade com o Plano Plurianual, a Lei de Diretrizes Orçamentárias e a Lei Orçamentária Anual.</w:t>
      </w:r>
    </w:p>
    <w:p w:rsidR="004D1D92" w:rsidRPr="007C30A0" w:rsidP="007C30A0">
      <w:pPr>
        <w:spacing w:after="160" w:line="360" w:lineRule="auto"/>
        <w:ind w:firstLine="720"/>
        <w:jc w:val="both"/>
        <w:rPr>
          <w:sz w:val="24"/>
          <w:szCs w:val="24"/>
        </w:rPr>
      </w:pPr>
      <w:r w:rsidRPr="007C30A0">
        <w:rPr>
          <w:sz w:val="24"/>
          <w:szCs w:val="24"/>
        </w:rPr>
        <w:t>Assim, recomenda-se que, antes da deliberação final em Plenário, o processo legislativo esteja devidamente instruído com tais demon</w:t>
      </w:r>
      <w:r w:rsidRPr="007C30A0">
        <w:rPr>
          <w:sz w:val="24"/>
          <w:szCs w:val="24"/>
        </w:rPr>
        <w:t>strativos, como medida de prudência jurídica e de prevenção a apontamentos por parte dos órgãos de controle externo.</w:t>
      </w:r>
    </w:p>
    <w:p w:rsidR="004D1D92" w:rsidRPr="007C30A0" w:rsidP="007C30A0">
      <w:pPr>
        <w:spacing w:line="360" w:lineRule="auto"/>
        <w:jc w:val="both"/>
        <w:rPr>
          <w:sz w:val="24"/>
          <w:szCs w:val="24"/>
        </w:rPr>
      </w:pPr>
    </w:p>
    <w:p w:rsidR="004D1D92" w:rsidRPr="007C30A0" w:rsidP="007C30A0">
      <w:pPr>
        <w:pStyle w:val="Heading3"/>
        <w:keepNext w:val="0"/>
        <w:keepLines w:val="0"/>
        <w:numPr>
          <w:ilvl w:val="0"/>
          <w:numId w:val="4"/>
        </w:numPr>
        <w:spacing w:before="0" w:after="160" w:line="360" w:lineRule="auto"/>
        <w:jc w:val="both"/>
        <w:rPr>
          <w:sz w:val="24"/>
          <w:szCs w:val="24"/>
        </w:rPr>
      </w:pPr>
      <w:bookmarkStart w:id="2" w:name="_heading=h.lsqhiblfcous" w:colFirst="0" w:colLast="0"/>
      <w:bookmarkEnd w:id="2"/>
      <w:r w:rsidRPr="007C30A0">
        <w:rPr>
          <w:sz w:val="24"/>
          <w:szCs w:val="24"/>
        </w:rPr>
        <w:t>Técnica legislativa e segurança jurídica</w:t>
      </w:r>
    </w:p>
    <w:p w:rsidR="004D1D92" w:rsidRPr="007C30A0" w:rsidP="007C30A0">
      <w:pPr>
        <w:spacing w:line="360" w:lineRule="auto"/>
        <w:jc w:val="both"/>
        <w:rPr>
          <w:sz w:val="24"/>
          <w:szCs w:val="24"/>
        </w:rPr>
      </w:pPr>
    </w:p>
    <w:p w:rsidR="004D1D92" w:rsidRPr="007C30A0" w:rsidP="007C30A0">
      <w:pPr>
        <w:spacing w:after="160" w:line="360" w:lineRule="auto"/>
        <w:ind w:firstLine="720"/>
        <w:jc w:val="both"/>
        <w:rPr>
          <w:sz w:val="24"/>
          <w:szCs w:val="24"/>
        </w:rPr>
      </w:pPr>
      <w:r w:rsidRPr="007C30A0">
        <w:rPr>
          <w:sz w:val="24"/>
          <w:szCs w:val="24"/>
        </w:rPr>
        <w:t>Considerando a extensão das alterações promovidas, especialmente a substituição de múltiplos anexos e a reorganização do organograma, esta Comissão entende oportuno recomendar:</w:t>
      </w:r>
    </w:p>
    <w:p w:rsidR="00C17D1E" w:rsidRPr="007C30A0" w:rsidP="007C30A0">
      <w:pPr>
        <w:numPr>
          <w:ilvl w:val="0"/>
          <w:numId w:val="5"/>
        </w:numPr>
        <w:spacing w:after="160" w:line="360" w:lineRule="auto"/>
        <w:jc w:val="both"/>
        <w:rPr>
          <w:sz w:val="24"/>
          <w:szCs w:val="24"/>
        </w:rPr>
      </w:pPr>
      <w:r w:rsidRPr="007C30A0">
        <w:rPr>
          <w:sz w:val="24"/>
          <w:szCs w:val="24"/>
        </w:rPr>
        <w:t>a</w:t>
      </w:r>
      <w:r w:rsidRPr="007C30A0">
        <w:rPr>
          <w:sz w:val="24"/>
          <w:szCs w:val="24"/>
        </w:rPr>
        <w:t xml:space="preserve"> revisão final das nomenclaturas, referências e atribuições funcionais, evitan</w:t>
      </w:r>
      <w:r w:rsidRPr="007C30A0">
        <w:rPr>
          <w:sz w:val="24"/>
          <w:szCs w:val="24"/>
        </w:rPr>
        <w:t>do sobreposiç</w:t>
      </w:r>
      <w:r w:rsidRPr="007C30A0">
        <w:rPr>
          <w:sz w:val="24"/>
          <w:szCs w:val="24"/>
        </w:rPr>
        <w:t>ões ou inconsistências internas;</w:t>
      </w:r>
    </w:p>
    <w:p w:rsidR="00C17D1E" w:rsidRPr="007C30A0" w:rsidP="007C30A0">
      <w:pPr>
        <w:numPr>
          <w:ilvl w:val="0"/>
          <w:numId w:val="5"/>
        </w:numPr>
        <w:spacing w:after="160" w:line="360" w:lineRule="auto"/>
        <w:jc w:val="both"/>
        <w:rPr>
          <w:sz w:val="24"/>
          <w:szCs w:val="24"/>
        </w:rPr>
      </w:pPr>
      <w:r w:rsidRPr="007C30A0">
        <w:rPr>
          <w:sz w:val="24"/>
          <w:szCs w:val="24"/>
        </w:rPr>
        <w:t>a</w:t>
      </w:r>
      <w:r w:rsidRPr="007C30A0">
        <w:rPr>
          <w:sz w:val="24"/>
          <w:szCs w:val="24"/>
        </w:rPr>
        <w:t xml:space="preserve"> devida instrução</w:t>
      </w:r>
      <w:r w:rsidRPr="007C30A0">
        <w:rPr>
          <w:sz w:val="24"/>
          <w:szCs w:val="24"/>
        </w:rPr>
        <w:t xml:space="preserve"> com estudo de impacto financeiro, acompanhado de declaração expressa de compatibilidade com o Plano Plurianual (PPA), a Lei de Diretrizes Orçamentárias (LDO) e</w:t>
      </w:r>
      <w:r w:rsidRPr="007C30A0">
        <w:rPr>
          <w:sz w:val="24"/>
          <w:szCs w:val="24"/>
        </w:rPr>
        <w:t xml:space="preserve"> a Lei Orçamentária Anual (LOA);</w:t>
      </w:r>
    </w:p>
    <w:p w:rsidR="004D1D92" w:rsidRPr="007C30A0" w:rsidP="007C30A0">
      <w:pPr>
        <w:spacing w:after="160" w:line="360" w:lineRule="auto"/>
        <w:ind w:firstLine="720"/>
        <w:jc w:val="both"/>
        <w:rPr>
          <w:sz w:val="24"/>
          <w:szCs w:val="24"/>
        </w:rPr>
      </w:pPr>
      <w:r w:rsidRPr="007C30A0">
        <w:rPr>
          <w:sz w:val="24"/>
          <w:szCs w:val="24"/>
        </w:rPr>
        <w:t>Tal providência não constitui óbice à aprovação do projeto, mas qualifica a técnica legislativa e reforça a segurança jurídica da norma.</w:t>
      </w:r>
    </w:p>
    <w:p w:rsidR="004D1D92" w:rsidRPr="007C30A0" w:rsidP="007C30A0">
      <w:pPr>
        <w:spacing w:before="280" w:after="28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4D1D92" w:rsidRPr="007C30A0" w:rsidP="007C30A0">
      <w:pPr>
        <w:pStyle w:val="Heading3"/>
        <w:numPr>
          <w:ilvl w:val="0"/>
          <w:numId w:val="3"/>
        </w:numPr>
        <w:spacing w:line="360" w:lineRule="auto"/>
        <w:jc w:val="both"/>
        <w:rPr>
          <w:color w:val="404040"/>
          <w:sz w:val="24"/>
          <w:szCs w:val="24"/>
        </w:rPr>
      </w:pPr>
      <w:r w:rsidRPr="007C30A0">
        <w:rPr>
          <w:color w:val="404040"/>
          <w:sz w:val="24"/>
          <w:szCs w:val="24"/>
        </w:rPr>
        <w:t xml:space="preserve">CONCLUSÃO FINAL </w:t>
      </w:r>
    </w:p>
    <w:p w:rsidR="004D1D92" w:rsidRPr="007C30A0" w:rsidP="007C30A0">
      <w:pPr>
        <w:spacing w:before="280" w:after="280" w:line="360" w:lineRule="auto"/>
        <w:jc w:val="both"/>
        <w:rPr>
          <w:sz w:val="24"/>
          <w:szCs w:val="24"/>
        </w:rPr>
      </w:pPr>
      <w:r w:rsidRPr="007C30A0">
        <w:rPr>
          <w:sz w:val="24"/>
          <w:szCs w:val="24"/>
        </w:rPr>
        <w:tab/>
        <w:t>Diante do exposto, esta Comissão de Justiça e Redação</w:t>
      </w:r>
      <w:r w:rsidRPr="007C30A0">
        <w:rPr>
          <w:sz w:val="24"/>
          <w:szCs w:val="24"/>
        </w:rPr>
        <w:t xml:space="preserve"> opina favoravelmente à aprovação do Projeto de Lei Complementar nº 29/2025, bem como da Mensagem Modificativa apresentada pelo Poder Executivo, por entender que a proposição:</w:t>
      </w:r>
    </w:p>
    <w:p w:rsidR="004D1D92" w:rsidRPr="007C30A0" w:rsidP="007C30A0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7C30A0">
        <w:rPr>
          <w:sz w:val="24"/>
          <w:szCs w:val="24"/>
        </w:rPr>
        <w:t>é</w:t>
      </w:r>
      <w:r w:rsidRPr="007C30A0">
        <w:rPr>
          <w:sz w:val="24"/>
          <w:szCs w:val="24"/>
        </w:rPr>
        <w:t xml:space="preserve"> formalmente constitucional, por observar a iniciativa privativa do Chefe do Ex</w:t>
      </w:r>
      <w:r w:rsidRPr="007C30A0">
        <w:rPr>
          <w:sz w:val="24"/>
          <w:szCs w:val="24"/>
        </w:rPr>
        <w:t>ecutivo;</w:t>
      </w:r>
    </w:p>
    <w:p w:rsidR="004D1D92" w:rsidRPr="007C30A0" w:rsidP="007C30A0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7C30A0">
        <w:rPr>
          <w:sz w:val="24"/>
          <w:szCs w:val="24"/>
        </w:rPr>
        <w:t>é</w:t>
      </w:r>
      <w:r w:rsidRPr="007C30A0">
        <w:rPr>
          <w:sz w:val="24"/>
          <w:szCs w:val="24"/>
        </w:rPr>
        <w:t xml:space="preserve"> materialmente compatível com a Constituição Federal, especialmente com o art. 37, incisos V e X;</w:t>
      </w:r>
    </w:p>
    <w:p w:rsidR="004D1D92" w:rsidRPr="007C30A0" w:rsidP="007C30A0">
      <w:pPr>
        <w:numPr>
          <w:ilvl w:val="0"/>
          <w:numId w:val="1"/>
        </w:numPr>
        <w:spacing w:after="160" w:line="360" w:lineRule="auto"/>
        <w:jc w:val="both"/>
        <w:rPr>
          <w:sz w:val="24"/>
          <w:szCs w:val="24"/>
        </w:rPr>
      </w:pPr>
      <w:r w:rsidRPr="007C30A0">
        <w:rPr>
          <w:sz w:val="24"/>
          <w:szCs w:val="24"/>
        </w:rPr>
        <w:t>atende</w:t>
      </w:r>
      <w:r w:rsidRPr="007C30A0">
        <w:rPr>
          <w:sz w:val="24"/>
          <w:szCs w:val="24"/>
        </w:rPr>
        <w:t>, em tese, aos parâmetros fixados pela jurisprudência do Supremo Tribunal Federal.</w:t>
      </w:r>
    </w:p>
    <w:p w:rsidR="004D1D92" w:rsidRPr="007C30A0" w:rsidP="007C30A0">
      <w:pPr>
        <w:spacing w:after="160" w:line="360" w:lineRule="auto"/>
        <w:ind w:firstLine="720"/>
        <w:jc w:val="both"/>
        <w:rPr>
          <w:sz w:val="24"/>
          <w:szCs w:val="24"/>
        </w:rPr>
      </w:pPr>
      <w:r w:rsidRPr="007C30A0">
        <w:rPr>
          <w:sz w:val="24"/>
          <w:szCs w:val="24"/>
        </w:rPr>
        <w:t xml:space="preserve">O voto é </w:t>
      </w:r>
      <w:r w:rsidRPr="007C30A0">
        <w:rPr>
          <w:b/>
          <w:bCs/>
          <w:sz w:val="24"/>
          <w:szCs w:val="24"/>
        </w:rPr>
        <w:t>FAVORÁVEL</w:t>
      </w:r>
      <w:r w:rsidRPr="007C30A0">
        <w:rPr>
          <w:sz w:val="24"/>
          <w:szCs w:val="24"/>
        </w:rPr>
        <w:t>, com as recomendações consignadas quanto</w:t>
      </w:r>
      <w:r w:rsidRPr="007C30A0">
        <w:rPr>
          <w:sz w:val="24"/>
          <w:szCs w:val="24"/>
        </w:rPr>
        <w:t xml:space="preserve"> à instrução fiscal, consolidação normativa e observância rigorosa dos limites constitucionais relativos aos cargos em comissão.</w:t>
      </w:r>
    </w:p>
    <w:p w:rsidR="004D1D92" w:rsidRPr="007C30A0" w:rsidP="007C30A0">
      <w:pPr>
        <w:spacing w:after="160" w:line="360" w:lineRule="auto"/>
        <w:ind w:firstLine="720"/>
        <w:jc w:val="both"/>
        <w:rPr>
          <w:sz w:val="24"/>
          <w:szCs w:val="24"/>
        </w:rPr>
      </w:pPr>
      <w:r w:rsidRPr="007C30A0">
        <w:rPr>
          <w:sz w:val="24"/>
          <w:szCs w:val="24"/>
        </w:rPr>
        <w:t>É o parecer.</w:t>
      </w:r>
    </w:p>
    <w:p w:rsidR="004D1D92">
      <w:pP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pict>
          <v:rect id="_x0000_i1028" style="width:0;height:1.5pt" o:hralign="center" o:hrstd="t" o:hr="t" fillcolor="#a0a0a0" stroked="f"/>
        </w:pict>
      </w:r>
    </w:p>
    <w:p w:rsidR="004D1D92">
      <w:pPr>
        <w:pStyle w:val="Heading3"/>
        <w:spacing w:line="360" w:lineRule="auto"/>
        <w:jc w:val="both"/>
        <w:rPr>
          <w:color w:val="404040"/>
          <w:sz w:val="24"/>
          <w:szCs w:val="24"/>
        </w:rPr>
      </w:pPr>
      <w:r>
        <w:rPr>
          <w:color w:val="404040"/>
          <w:sz w:val="24"/>
          <w:szCs w:val="24"/>
        </w:rPr>
        <w:t>III - DECISÃO DA</w:t>
      </w:r>
      <w:r w:rsidR="00EA5EAE">
        <w:rPr>
          <w:color w:val="404040"/>
          <w:sz w:val="24"/>
          <w:szCs w:val="24"/>
        </w:rPr>
        <w:t>S</w:t>
      </w:r>
      <w:r>
        <w:rPr>
          <w:color w:val="404040"/>
          <w:sz w:val="24"/>
          <w:szCs w:val="24"/>
        </w:rPr>
        <w:t xml:space="preserve"> </w:t>
      </w:r>
      <w:r w:rsidR="006C6670">
        <w:rPr>
          <w:color w:val="404040"/>
          <w:sz w:val="24"/>
          <w:szCs w:val="24"/>
        </w:rPr>
        <w:t>COMISSÕES</w:t>
      </w:r>
    </w:p>
    <w:p w:rsidR="004D1D92">
      <w:pPr>
        <w:spacing w:before="280" w:after="280" w:line="360" w:lineRule="auto"/>
        <w:jc w:val="both"/>
        <w:rPr>
          <w:sz w:val="24"/>
          <w:szCs w:val="24"/>
        </w:rPr>
      </w:pPr>
      <w:r>
        <w:tab/>
        <w:t xml:space="preserve"> </w:t>
      </w:r>
      <w:r w:rsidR="006C6670">
        <w:rPr>
          <w:sz w:val="24"/>
          <w:szCs w:val="24"/>
        </w:rPr>
        <w:t>A Comissão de Justiça e Redação; Comissão de Obras, Serviços Públicos e Atividades Privadas; e, Comissão de Finanças e Orçamento</w:t>
      </w:r>
      <w:r>
        <w:rPr>
          <w:sz w:val="24"/>
          <w:szCs w:val="24"/>
        </w:rPr>
        <w:t xml:space="preserve"> acompanhando o voto do relator, delibera</w:t>
      </w:r>
      <w:r w:rsidR="006C6670">
        <w:rPr>
          <w:sz w:val="24"/>
          <w:szCs w:val="24"/>
        </w:rPr>
        <w:t>m</w:t>
      </w:r>
      <w:r>
        <w:rPr>
          <w:sz w:val="24"/>
          <w:szCs w:val="24"/>
        </w:rPr>
        <w:t xml:space="preserve"> pela constitucionalidade, juridicidade e boa técnica legislativa do Projeto de Lei Complementar nº 29/2025, opinando por sua regular tramitação e aprovação.</w:t>
      </w:r>
    </w:p>
    <w:p w:rsidR="004D1D92" w:rsidRPr="006C6670" w:rsidP="006C6670">
      <w:pPr>
        <w:spacing w:before="280" w:after="280" w:line="360" w:lineRule="auto"/>
        <w:jc w:val="both"/>
        <w:rPr>
          <w:sz w:val="24"/>
          <w:szCs w:val="24"/>
        </w:rPr>
      </w:pPr>
      <w:r>
        <w:pict>
          <v:rect id="_x0000_i1029" style="width:0;height:1.5pt" o:hralign="center" o:hrstd="t" o:hr="t" fillcolor="#a0a0a0" stroked="f"/>
        </w:pict>
      </w:r>
    </w:p>
    <w:p w:rsidR="004D1D92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b/>
          <w:bCs/>
          <w:color w:val="404040"/>
          <w:sz w:val="24"/>
          <w:szCs w:val="24"/>
        </w:rPr>
      </w:pPr>
      <w:r>
        <w:rPr>
          <w:b/>
          <w:bCs/>
          <w:color w:val="404040"/>
          <w:sz w:val="24"/>
          <w:szCs w:val="24"/>
        </w:rPr>
        <w:t>SALA DAS SESSÕES “VEREADOR SANTO RÓTTOLI”, em 15 de dezembro de 2025.</w:t>
      </w:r>
    </w:p>
    <w:p w:rsidR="004D1D92">
      <w:pPr>
        <w:spacing w:before="240" w:line="360" w:lineRule="auto"/>
        <w:jc w:val="center"/>
        <w:rPr>
          <w:i/>
          <w:iCs/>
          <w:sz w:val="24"/>
          <w:szCs w:val="24"/>
        </w:rPr>
      </w:pPr>
    </w:p>
    <w:p w:rsidR="004D1D92">
      <w:pPr>
        <w:spacing w:before="240" w:line="360" w:lineRule="auto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>assinado</w:t>
      </w:r>
      <w:r>
        <w:rPr>
          <w:i/>
          <w:iCs/>
          <w:sz w:val="24"/>
          <w:szCs w:val="24"/>
        </w:rPr>
        <w:t xml:space="preserve"> digitalmente)</w:t>
      </w:r>
    </w:p>
    <w:p w:rsidR="004D1D92">
      <w:pPr>
        <w:spacing w:line="360" w:lineRule="auto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VEREADOR JOÃO VICTOR GASPARINI</w:t>
      </w:r>
    </w:p>
    <w:p w:rsidR="004D1D92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Relator</w:t>
      </w:r>
    </w:p>
    <w:p w:rsidR="004D1D92">
      <w:pPr>
        <w:spacing w:line="360" w:lineRule="auto"/>
        <w:jc w:val="both"/>
        <w:rPr>
          <w:sz w:val="24"/>
          <w:szCs w:val="24"/>
        </w:rPr>
      </w:pPr>
      <w:r>
        <w:pict>
          <v:rect id="_x0000_i1030" style="width:0;height:1.5pt" o:hralign="center" o:hrstd="t" o:hr="t" fillcolor="#a0a0a0" stroked="f"/>
        </w:pict>
      </w:r>
    </w:p>
    <w:p w:rsidR="006C6670">
      <w:pPr>
        <w:spacing w:line="360" w:lineRule="auto"/>
        <w:jc w:val="both"/>
        <w:rPr>
          <w:b/>
          <w:bCs/>
          <w:color w:val="404040"/>
          <w:sz w:val="24"/>
          <w:szCs w:val="24"/>
        </w:rPr>
      </w:pPr>
    </w:p>
    <w:p w:rsidR="006C6670">
      <w:pPr>
        <w:spacing w:line="360" w:lineRule="auto"/>
        <w:jc w:val="both"/>
        <w:rPr>
          <w:b/>
          <w:bCs/>
          <w:color w:val="404040"/>
          <w:sz w:val="24"/>
          <w:szCs w:val="24"/>
        </w:rPr>
      </w:pPr>
    </w:p>
    <w:p w:rsidR="006C6670">
      <w:pPr>
        <w:spacing w:line="360" w:lineRule="auto"/>
        <w:jc w:val="both"/>
        <w:rPr>
          <w:b/>
          <w:bCs/>
          <w:color w:val="404040"/>
          <w:sz w:val="24"/>
          <w:szCs w:val="24"/>
        </w:rPr>
      </w:pPr>
    </w:p>
    <w:p w:rsidR="006C6670">
      <w:pPr>
        <w:spacing w:line="360" w:lineRule="auto"/>
        <w:jc w:val="both"/>
        <w:rPr>
          <w:b/>
          <w:bCs/>
          <w:color w:val="404040"/>
          <w:sz w:val="24"/>
          <w:szCs w:val="24"/>
        </w:rPr>
      </w:pPr>
    </w:p>
    <w:p w:rsidR="006C6670">
      <w:pPr>
        <w:spacing w:line="360" w:lineRule="auto"/>
        <w:jc w:val="both"/>
        <w:rPr>
          <w:b/>
          <w:bCs/>
          <w:color w:val="404040"/>
          <w:sz w:val="24"/>
          <w:szCs w:val="24"/>
        </w:rPr>
      </w:pPr>
    </w:p>
    <w:p w:rsidR="006C6670">
      <w:pPr>
        <w:spacing w:line="360" w:lineRule="auto"/>
        <w:jc w:val="both"/>
        <w:rPr>
          <w:b/>
          <w:bCs/>
          <w:color w:val="404040"/>
          <w:sz w:val="24"/>
          <w:szCs w:val="24"/>
        </w:rPr>
      </w:pPr>
    </w:p>
    <w:p w:rsidR="004D1D92">
      <w:pPr>
        <w:spacing w:line="360" w:lineRule="auto"/>
        <w:jc w:val="both"/>
        <w:rPr>
          <w:color w:val="404040"/>
          <w:sz w:val="24"/>
          <w:szCs w:val="24"/>
        </w:rPr>
      </w:pPr>
      <w:r>
        <w:rPr>
          <w:b/>
          <w:bCs/>
          <w:color w:val="404040"/>
          <w:sz w:val="24"/>
          <w:szCs w:val="24"/>
        </w:rPr>
        <w:t>REFERÊNCIAS</w:t>
      </w:r>
    </w:p>
    <w:p w:rsidR="004D1D92">
      <w:pPr>
        <w:jc w:val="both"/>
        <w:rPr>
          <w:sz w:val="24"/>
          <w:szCs w:val="24"/>
        </w:rPr>
      </w:pPr>
      <w:r>
        <w:rPr>
          <w:sz w:val="24"/>
          <w:szCs w:val="24"/>
        </w:rPr>
        <w:t>BRASIL. Constituição (1988). Constituição da República Federativa do Brasil. Brasília, DF: Senado Federal, 1988.</w:t>
      </w:r>
    </w:p>
    <w:p w:rsidR="004D1D92">
      <w:pPr>
        <w:jc w:val="both"/>
        <w:rPr>
          <w:sz w:val="24"/>
          <w:szCs w:val="24"/>
        </w:rPr>
      </w:pPr>
    </w:p>
    <w:p w:rsidR="004D1D92">
      <w:pPr>
        <w:jc w:val="both"/>
        <w:rPr>
          <w:sz w:val="24"/>
          <w:szCs w:val="24"/>
        </w:rPr>
      </w:pPr>
      <w:r>
        <w:rPr>
          <w:sz w:val="24"/>
          <w:szCs w:val="24"/>
        </w:rPr>
        <w:t>BRASIL. Lei Complementar nº 95, de 26 de fevereiro de 1998. Dispõe sobre a elaboração, a redação, a alteração e a consolidação das leis, confo</w:t>
      </w:r>
      <w:r>
        <w:rPr>
          <w:sz w:val="24"/>
          <w:szCs w:val="24"/>
        </w:rPr>
        <w:t>rme determina o parágrafo único do art. 59 da Constituição Federal, e estabelece normas para a consolidação dos atos normativos que menciona. Diário Oficial da União: seção 1, Brasília, DF, 27 fev. 1998.</w:t>
      </w:r>
    </w:p>
    <w:p w:rsidR="004D1D92">
      <w:pPr>
        <w:jc w:val="both"/>
        <w:rPr>
          <w:sz w:val="24"/>
          <w:szCs w:val="24"/>
        </w:rPr>
      </w:pPr>
    </w:p>
    <w:p w:rsidR="004D1D92">
      <w:pPr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>BRASIL. Lei Complementar nº 101, de 04 de maio de 2</w:t>
      </w:r>
      <w:r>
        <w:rPr>
          <w:sz w:val="24"/>
          <w:szCs w:val="24"/>
          <w:highlight w:val="white"/>
        </w:rPr>
        <w:t>000. Estabelece normas de finanças públicas voltadas para a responsabilidade na gestão fiscal e dá outras providências. Brasília, DF.</w:t>
      </w:r>
    </w:p>
    <w:p w:rsidR="004D1D92">
      <w:pPr>
        <w:jc w:val="both"/>
        <w:rPr>
          <w:sz w:val="24"/>
          <w:szCs w:val="24"/>
        </w:rPr>
      </w:pPr>
    </w:p>
    <w:p w:rsidR="004D1D92">
      <w:pPr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MOGI MIRIM (Município). Lei Complementar nº 206, de dezembro de 2006. Dispõe sobre a reorganização administrativa e a ree</w:t>
      </w:r>
      <w:r>
        <w:rPr>
          <w:sz w:val="24"/>
          <w:szCs w:val="24"/>
          <w:highlight w:val="white"/>
        </w:rPr>
        <w:t xml:space="preserve">struturação do quadro de pessoal com plano de empregos, carreira e salários do serviço autônomo de água e esgotos de Mogi Mirim (SAAE). </w:t>
      </w:r>
    </w:p>
    <w:p w:rsidR="004D1D92">
      <w:pPr>
        <w:spacing w:before="240" w:after="240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SUPREMO TRIBUNAL FEDERAL (STF). </w:t>
      </w:r>
      <w:r>
        <w:rPr>
          <w:b/>
          <w:bCs/>
          <w:sz w:val="24"/>
          <w:szCs w:val="24"/>
          <w:highlight w:val="white"/>
        </w:rPr>
        <w:t>Tema 19 da Repercussão Geral</w:t>
      </w:r>
      <w:r>
        <w:rPr>
          <w:sz w:val="24"/>
          <w:szCs w:val="24"/>
          <w:highlight w:val="white"/>
        </w:rPr>
        <w:t xml:space="preserve">: Indenização pelo não encaminhamento de projeto de lei de </w:t>
      </w:r>
      <w:r>
        <w:rPr>
          <w:sz w:val="24"/>
          <w:szCs w:val="24"/>
          <w:highlight w:val="white"/>
        </w:rPr>
        <w:t xml:space="preserve">revisão geral anual dos vencimentos de servidores públicos. Brasília, DF: Supremo Tribunal Federal. Disponível em: </w:t>
      </w:r>
      <w:hyperlink r:id="rId5" w:history="1">
        <w:r>
          <w:rPr>
            <w:sz w:val="24"/>
            <w:szCs w:val="24"/>
            <w:highlight w:val="white"/>
            <w:u w:val="single"/>
          </w:rPr>
          <w:t>https://portal.stf.jus.br/jurisprudenciaRepercussao/te</w:t>
        </w:r>
        <w:r>
          <w:rPr>
            <w:sz w:val="24"/>
            <w:szCs w:val="24"/>
            <w:highlight w:val="white"/>
            <w:u w:val="single"/>
          </w:rPr>
          <w:t>ma.asp?num=19</w:t>
        </w:r>
      </w:hyperlink>
      <w:r>
        <w:rPr>
          <w:sz w:val="24"/>
          <w:szCs w:val="24"/>
          <w:highlight w:val="white"/>
        </w:rPr>
        <w:t xml:space="preserve"> </w:t>
      </w:r>
    </w:p>
    <w:p w:rsidR="004D1D92">
      <w:pPr>
        <w:spacing w:before="240" w:after="240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SUPREMO TRIBUNAL FEDERAL (STF). </w:t>
      </w:r>
      <w:r>
        <w:rPr>
          <w:b/>
          <w:bCs/>
          <w:sz w:val="24"/>
          <w:szCs w:val="24"/>
          <w:highlight w:val="white"/>
        </w:rPr>
        <w:t>Tema 1010 da Repercussão Geral</w:t>
      </w:r>
      <w:r>
        <w:rPr>
          <w:sz w:val="24"/>
          <w:szCs w:val="24"/>
          <w:highlight w:val="white"/>
        </w:rPr>
        <w:t>: Controvérsia relativa aos requisitos constitucionais para a criação de cargos em comissão, nos termos do art. 37, incisos II e V, da Constituição da República. Brasília, DF: Sup</w:t>
      </w:r>
      <w:r>
        <w:rPr>
          <w:sz w:val="24"/>
          <w:szCs w:val="24"/>
          <w:highlight w:val="white"/>
        </w:rPr>
        <w:t>remo Tribunal Federal. Disponível em:</w:t>
      </w:r>
      <w:hyperlink r:id="rId6" w:history="1">
        <w:r>
          <w:rPr>
            <w:sz w:val="24"/>
            <w:szCs w:val="24"/>
            <w:highlight w:val="white"/>
          </w:rPr>
          <w:t xml:space="preserve"> </w:t>
        </w:r>
      </w:hyperlink>
      <w:hyperlink r:id="rId7" w:history="1">
        <w:r>
          <w:rPr>
            <w:sz w:val="24"/>
            <w:szCs w:val="24"/>
            <w:highlight w:val="white"/>
            <w:u w:val="single"/>
          </w:rPr>
          <w:t>ht</w:t>
        </w:r>
        <w:r>
          <w:rPr>
            <w:sz w:val="24"/>
            <w:szCs w:val="24"/>
            <w:highlight w:val="white"/>
            <w:u w:val="single"/>
          </w:rPr>
          <w:t>tps://portal.stf.jus.br/jurisprudenciaRepercussao/verAndamentoProcesso.asp?incidente=5171382&amp;numeroProcesso=1041210&amp;classeProcesso=RE&amp;numeroTema=1010</w:t>
        </w:r>
      </w:hyperlink>
      <w:r>
        <w:rPr>
          <w:sz w:val="24"/>
          <w:szCs w:val="24"/>
          <w:highlight w:val="white"/>
        </w:rPr>
        <w:t xml:space="preserve"> </w:t>
      </w:r>
    </w:p>
    <w:p w:rsidR="004D1D92">
      <w:pPr>
        <w:spacing w:before="240" w:after="240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SUPREMO TRIBUNAL FEDERAL (STF). </w:t>
      </w:r>
      <w:r>
        <w:rPr>
          <w:b/>
          <w:bCs/>
          <w:sz w:val="24"/>
          <w:szCs w:val="24"/>
          <w:highlight w:val="white"/>
        </w:rPr>
        <w:t>Tema 223 da Repercussão Geral</w:t>
      </w:r>
      <w:r>
        <w:rPr>
          <w:sz w:val="24"/>
          <w:szCs w:val="24"/>
          <w:highlight w:val="white"/>
        </w:rPr>
        <w:t>: Competência do Poder Legislativo municipal</w:t>
      </w:r>
      <w:r>
        <w:rPr>
          <w:sz w:val="24"/>
          <w:szCs w:val="24"/>
          <w:highlight w:val="white"/>
        </w:rPr>
        <w:t xml:space="preserve"> para estabelecer vantagens, benefícios e adicionais em favor de servidores públicos municipais. Brasília, DF: Supremo Tribunal Federal. Disponível </w:t>
      </w:r>
      <w:r>
        <w:rPr>
          <w:sz w:val="24"/>
          <w:szCs w:val="24"/>
          <w:highlight w:val="white"/>
        </w:rPr>
        <w:t>em:</w:t>
      </w:r>
      <w:hyperlink r:id="rId8" w:history="1">
        <w:r>
          <w:rPr>
            <w:sz w:val="24"/>
            <w:szCs w:val="24"/>
            <w:highlight w:val="white"/>
            <w:u w:val="single"/>
          </w:rPr>
          <w:t>teams.microsoft.com</w:t>
        </w:r>
        <w:r>
          <w:rPr>
            <w:sz w:val="24"/>
            <w:szCs w:val="24"/>
            <w:highlight w:val="white"/>
            <w:u w:val="single"/>
          </w:rPr>
          <w:t>/l/meetup-join/19%3ameeting_ZmViM2IyOGItY2I1YS00OTc4LTg2YTAtMzJhMGQzZTlhY2Nh%40t</w:t>
        </w:r>
        <w:r>
          <w:rPr>
            <w:sz w:val="24"/>
            <w:szCs w:val="24"/>
            <w:highlight w:val="white"/>
            <w:u w:val="single"/>
          </w:rPr>
          <w:t>hread.v2/0?context=%7b"Tid"%3a"79f6b639-ab12-4280-8077-bdbeef869b33"%2c"Oid"%3a"97899160-16ec-480b-90f7-bba5ad1ed92d"%7d</w:t>
        </w:r>
      </w:hyperlink>
      <w:r>
        <w:rPr>
          <w:sz w:val="24"/>
          <w:szCs w:val="24"/>
          <w:highlight w:val="white"/>
        </w:rPr>
        <w:t xml:space="preserve"> </w:t>
      </w:r>
    </w:p>
    <w:p w:rsidR="004D1D92">
      <w:pPr>
        <w:jc w:val="both"/>
        <w:rPr>
          <w:rFonts w:ascii="Roboto" w:eastAsia="Roboto" w:hAnsi="Roboto" w:cs="Roboto"/>
          <w:color w:val="222222"/>
          <w:sz w:val="24"/>
          <w:szCs w:val="24"/>
          <w:highlight w:val="white"/>
        </w:rPr>
      </w:pPr>
    </w:p>
    <w:p w:rsidR="004D1D92">
      <w:pPr>
        <w:jc w:val="both"/>
        <w:rPr>
          <w:sz w:val="24"/>
          <w:szCs w:val="24"/>
        </w:rPr>
      </w:pPr>
      <w:r>
        <w:br w:type="page"/>
      </w:r>
    </w:p>
    <w:p w:rsidR="00EA5EAE" w:rsidP="00EA5E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color w:val="000000"/>
          <w:sz w:val="24"/>
          <w:szCs w:val="24"/>
        </w:rPr>
      </w:pPr>
      <w:bookmarkStart w:id="3" w:name="_heading=h.jag821lb3ggf" w:colFirst="0" w:colLast="0"/>
      <w:bookmarkEnd w:id="3"/>
      <w:r>
        <w:rPr>
          <w:b/>
          <w:bCs/>
          <w:color w:val="000000"/>
          <w:sz w:val="24"/>
          <w:szCs w:val="24"/>
        </w:rPr>
        <w:t>PARECER CONJUNTO DAS COMISSÕES DE JUSTIÇA E REDAÇÃO</w:t>
      </w:r>
      <w:r w:rsidR="00FC6BAB">
        <w:rPr>
          <w:b/>
          <w:bCs/>
          <w:color w:val="000000"/>
          <w:sz w:val="24"/>
          <w:szCs w:val="24"/>
        </w:rPr>
        <w:t>;</w:t>
      </w:r>
      <w:r w:rsidR="006C6670">
        <w:rPr>
          <w:b/>
          <w:bCs/>
          <w:color w:val="000000"/>
          <w:sz w:val="24"/>
          <w:szCs w:val="24"/>
        </w:rPr>
        <w:t xml:space="preserve"> </w:t>
      </w:r>
      <w:r w:rsidR="00FC6BAB">
        <w:rPr>
          <w:b/>
          <w:bCs/>
          <w:color w:val="000000"/>
          <w:sz w:val="24"/>
          <w:szCs w:val="24"/>
        </w:rPr>
        <w:t>DE OBRAS, SERVIÇOS PÚBLICOS E ATIVIDADES PRIVADAS</w:t>
      </w:r>
      <w:r w:rsidR="006C6670">
        <w:rPr>
          <w:b/>
          <w:bCs/>
          <w:color w:val="000000"/>
          <w:sz w:val="24"/>
          <w:szCs w:val="24"/>
        </w:rPr>
        <w:t xml:space="preserve">; e, </w:t>
      </w:r>
      <w:r w:rsidR="006C6670">
        <w:rPr>
          <w:b/>
          <w:bCs/>
          <w:color w:val="000000"/>
          <w:sz w:val="24"/>
          <w:szCs w:val="24"/>
        </w:rPr>
        <w:t>DE FINANÇAS E ORÇAMENTO</w:t>
      </w:r>
      <w:r w:rsidR="006C6670">
        <w:rPr>
          <w:b/>
          <w:bCs/>
          <w:color w:val="000000"/>
          <w:sz w:val="24"/>
          <w:szCs w:val="24"/>
        </w:rPr>
        <w:t>;</w:t>
      </w:r>
      <w:r>
        <w:rPr>
          <w:b/>
          <w:bCs/>
          <w:color w:val="000000"/>
          <w:sz w:val="24"/>
          <w:szCs w:val="24"/>
        </w:rPr>
        <w:t xml:space="preserve"> REFERENTE AO PROJETO </w:t>
      </w:r>
      <w:r>
        <w:rPr>
          <w:b/>
          <w:bCs/>
          <w:color w:val="000000"/>
          <w:sz w:val="24"/>
          <w:szCs w:val="24"/>
        </w:rPr>
        <w:t>DE LEI COMPLEMENTAR</w:t>
      </w:r>
      <w:r>
        <w:rPr>
          <w:b/>
          <w:bCs/>
          <w:color w:val="000000"/>
          <w:sz w:val="24"/>
          <w:szCs w:val="24"/>
        </w:rPr>
        <w:t xml:space="preserve"> Nº </w:t>
      </w:r>
      <w:r w:rsidR="003513B0">
        <w:rPr>
          <w:b/>
          <w:bCs/>
          <w:color w:val="000000"/>
          <w:sz w:val="24"/>
          <w:szCs w:val="24"/>
        </w:rPr>
        <w:t>29</w:t>
      </w:r>
      <w:r>
        <w:rPr>
          <w:b/>
          <w:bCs/>
          <w:color w:val="000000"/>
          <w:sz w:val="24"/>
          <w:szCs w:val="24"/>
        </w:rPr>
        <w:t xml:space="preserve">/2025 QUE </w:t>
      </w:r>
      <w:r w:rsidRPr="003513B0">
        <w:rPr>
          <w:b/>
          <w:bCs/>
          <w:iCs/>
          <w:color w:val="000000"/>
          <w:sz w:val="24"/>
          <w:szCs w:val="24"/>
        </w:rPr>
        <w:t>“</w:t>
      </w:r>
      <w:r w:rsidRPr="003513B0" w:rsidR="003513B0">
        <w:rPr>
          <w:b/>
          <w:bCs/>
          <w:iCs/>
          <w:color w:val="000000"/>
          <w:sz w:val="24"/>
          <w:szCs w:val="24"/>
        </w:rPr>
        <w:t xml:space="preserve">ALTERA A LEI COMPLEMENTAR Nº 206. DE 27 DE DEZEMBRO DE 2006, QUE DISPÕE SOBRE A REORGANIZAÇÃO ADMINISTRATIVA E A REESTRUTURAÇÃO DO QUADRO DE PESSOAL COM PLANO DE EMPREGOS, CARREIRA E SALÁRIOS DO SERVIÇO AUTÔNOMO DE ÁGUA </w:t>
      </w:r>
      <w:r w:rsidR="003513B0">
        <w:rPr>
          <w:b/>
          <w:bCs/>
          <w:iCs/>
          <w:color w:val="000000"/>
          <w:sz w:val="24"/>
          <w:szCs w:val="24"/>
        </w:rPr>
        <w:t>E ESGOSTOS DE MOGI MIRIM (</w:t>
      </w:r>
      <w:r w:rsidR="003513B0">
        <w:rPr>
          <w:b/>
          <w:bCs/>
          <w:iCs/>
          <w:color w:val="000000"/>
          <w:sz w:val="24"/>
          <w:szCs w:val="24"/>
        </w:rPr>
        <w:t>SAAE)</w:t>
      </w:r>
      <w:r w:rsidRPr="003513B0">
        <w:rPr>
          <w:b/>
          <w:bCs/>
          <w:iCs/>
          <w:color w:val="000000"/>
          <w:sz w:val="24"/>
          <w:szCs w:val="24"/>
        </w:rPr>
        <w:t>”</w:t>
      </w:r>
      <w:r w:rsidR="003513B0">
        <w:rPr>
          <w:b/>
          <w:bCs/>
          <w:iCs/>
          <w:color w:val="000000"/>
          <w:sz w:val="24"/>
          <w:szCs w:val="24"/>
        </w:rPr>
        <w:t>.</w:t>
      </w:r>
      <w:r w:rsidRPr="003513B0">
        <w:rPr>
          <w:color w:val="000000"/>
          <w:sz w:val="24"/>
          <w:szCs w:val="24"/>
        </w:rPr>
        <w:tab/>
      </w:r>
    </w:p>
    <w:p w:rsidR="00EA5EAE" w:rsidP="00EA5E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color w:val="000000"/>
          <w:sz w:val="24"/>
          <w:szCs w:val="24"/>
        </w:rPr>
      </w:pPr>
    </w:p>
    <w:p w:rsidR="00EA5EAE" w:rsidP="00EA5E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Seguindo o Voto exarado pelo Relator e conforme determinam os artigos 35 e 37 da Resolução n.º 276 de 09 de novembro de 2.010, a Comissão </w:t>
      </w:r>
      <w:r w:rsidR="006E3C81">
        <w:rPr>
          <w:color w:val="000000"/>
          <w:sz w:val="24"/>
          <w:szCs w:val="24"/>
        </w:rPr>
        <w:t xml:space="preserve">Permanente de Justiça e Redação; </w:t>
      </w:r>
      <w:r>
        <w:rPr>
          <w:color w:val="000000"/>
          <w:sz w:val="24"/>
          <w:szCs w:val="24"/>
        </w:rPr>
        <w:t>de Finanças e Orçamento,</w:t>
      </w:r>
      <w:r w:rsidR="006E3C81">
        <w:rPr>
          <w:color w:val="000000"/>
          <w:sz w:val="24"/>
          <w:szCs w:val="24"/>
        </w:rPr>
        <w:t xml:space="preserve"> e, de Obras, Serviços Públicos e Atividades Privadas</w:t>
      </w:r>
      <w:r>
        <w:rPr>
          <w:color w:val="000000"/>
          <w:sz w:val="24"/>
          <w:szCs w:val="24"/>
        </w:rPr>
        <w:t xml:space="preserve"> formalizam o presente </w:t>
      </w:r>
      <w:r>
        <w:rPr>
          <w:b/>
          <w:bCs/>
          <w:color w:val="000000"/>
          <w:sz w:val="24"/>
          <w:szCs w:val="24"/>
        </w:rPr>
        <w:t>PARECER FAVORÁVEL</w:t>
      </w:r>
      <w:r>
        <w:rPr>
          <w:color w:val="000000"/>
          <w:sz w:val="24"/>
          <w:szCs w:val="24"/>
        </w:rPr>
        <w:t>.</w:t>
      </w:r>
    </w:p>
    <w:p w:rsidR="00EA5EAE" w:rsidP="00EA5E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rPr>
          <w:b/>
          <w:bCs/>
          <w:color w:val="000000"/>
          <w:sz w:val="24"/>
          <w:szCs w:val="24"/>
        </w:rPr>
      </w:pPr>
    </w:p>
    <w:p w:rsidR="00EA5EAE" w:rsidP="00EA5E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Sala das Comissões, 1</w:t>
      </w:r>
      <w:r w:rsidR="003513B0">
        <w:rPr>
          <w:b/>
          <w:bCs/>
          <w:color w:val="000000"/>
          <w:sz w:val="24"/>
          <w:szCs w:val="24"/>
        </w:rPr>
        <w:t>5</w:t>
      </w:r>
      <w:r>
        <w:rPr>
          <w:b/>
          <w:bCs/>
          <w:color w:val="000000"/>
          <w:sz w:val="24"/>
          <w:szCs w:val="24"/>
        </w:rPr>
        <w:t xml:space="preserve"> de dezembro de 2025.</w:t>
      </w:r>
    </w:p>
    <w:p w:rsidR="005705B4" w:rsidP="00EA5E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center"/>
        <w:rPr>
          <w:color w:val="000000"/>
          <w:sz w:val="24"/>
          <w:szCs w:val="24"/>
        </w:rPr>
      </w:pPr>
    </w:p>
    <w:p w:rsidR="00EA5EAE" w:rsidP="00EA5E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bCs/>
          <w:color w:val="000000"/>
          <w:sz w:val="24"/>
          <w:szCs w:val="24"/>
        </w:rPr>
      </w:pPr>
    </w:p>
    <w:p w:rsidR="00EA5EAE" w:rsidP="00EA5E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center"/>
        <w:rPr>
          <w:b/>
          <w:bCs/>
          <w:color w:val="000000"/>
          <w:sz w:val="24"/>
          <w:szCs w:val="24"/>
          <w:u w:val="single"/>
        </w:rPr>
      </w:pPr>
      <w:r>
        <w:rPr>
          <w:b/>
          <w:bCs/>
          <w:color w:val="000000"/>
          <w:sz w:val="24"/>
          <w:szCs w:val="24"/>
          <w:u w:val="single"/>
        </w:rPr>
        <w:t xml:space="preserve">COMISSÃO DE JUSTIÇA E REDAÇÃO </w:t>
      </w:r>
    </w:p>
    <w:p w:rsidR="00EA5EAE" w:rsidP="00EA5E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rPr>
          <w:b/>
          <w:bCs/>
          <w:color w:val="000000"/>
          <w:sz w:val="24"/>
          <w:szCs w:val="24"/>
        </w:rPr>
      </w:pPr>
    </w:p>
    <w:p w:rsidR="00EA5EAE" w:rsidP="00EA5E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rPr>
          <w:b/>
          <w:bCs/>
          <w:color w:val="000000"/>
          <w:sz w:val="24"/>
          <w:szCs w:val="24"/>
        </w:rPr>
      </w:pPr>
    </w:p>
    <w:p w:rsidR="00EA5EAE" w:rsidP="00EA5E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Vereador Wagner Ricardo Pereira</w:t>
      </w:r>
    </w:p>
    <w:p w:rsidR="00EA5EAE" w:rsidRPr="003513B0" w:rsidP="00EA5E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Presidente</w:t>
      </w:r>
    </w:p>
    <w:p w:rsidR="00EA5EAE" w:rsidP="00EA5E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rPr>
          <w:b/>
          <w:bCs/>
          <w:color w:val="000000"/>
          <w:sz w:val="24"/>
          <w:szCs w:val="24"/>
        </w:rPr>
      </w:pPr>
    </w:p>
    <w:p w:rsidR="00EA5EAE" w:rsidP="00EA5E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Vereador João Victor Gasparini</w:t>
      </w:r>
    </w:p>
    <w:p w:rsidR="00EA5EAE" w:rsidRPr="003513B0" w:rsidP="00EA5E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Vice-Presidente</w:t>
      </w:r>
    </w:p>
    <w:p w:rsidR="00EA5EAE" w:rsidP="00EA5E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rPr>
          <w:b/>
          <w:bCs/>
          <w:color w:val="000000"/>
          <w:sz w:val="24"/>
          <w:szCs w:val="24"/>
        </w:rPr>
      </w:pPr>
    </w:p>
    <w:p w:rsidR="00EA5EAE" w:rsidP="00EA5E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Vereador </w:t>
      </w:r>
      <w:r>
        <w:rPr>
          <w:b/>
          <w:bCs/>
          <w:color w:val="000000"/>
          <w:sz w:val="24"/>
          <w:szCs w:val="24"/>
        </w:rPr>
        <w:t>Wilians</w:t>
      </w:r>
      <w:r>
        <w:rPr>
          <w:b/>
          <w:bCs/>
          <w:color w:val="000000"/>
          <w:sz w:val="24"/>
          <w:szCs w:val="24"/>
        </w:rPr>
        <w:t xml:space="preserve"> Mendes de Oliveira</w:t>
      </w:r>
    </w:p>
    <w:p w:rsidR="00EA5EAE" w:rsidP="00EA5E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Membro</w:t>
      </w:r>
    </w:p>
    <w:p w:rsidR="005705B4" w:rsidP="00EA5E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center"/>
        <w:rPr>
          <w:color w:val="000000"/>
          <w:sz w:val="24"/>
          <w:szCs w:val="24"/>
        </w:rPr>
      </w:pPr>
    </w:p>
    <w:p w:rsidR="005705B4" w:rsidP="00EA5EAE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color w:val="000000"/>
          <w:sz w:val="24"/>
          <w:szCs w:val="24"/>
        </w:rPr>
      </w:pPr>
    </w:p>
    <w:p w:rsidR="005705B4" w:rsidP="00EA5EAE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b/>
          <w:color w:val="000000"/>
          <w:sz w:val="24"/>
          <w:szCs w:val="24"/>
          <w:u w:val="single"/>
        </w:rPr>
      </w:pPr>
      <w:r w:rsidRPr="005705B4">
        <w:rPr>
          <w:b/>
          <w:color w:val="000000"/>
          <w:sz w:val="24"/>
          <w:szCs w:val="24"/>
          <w:u w:val="single"/>
        </w:rPr>
        <w:t>COMISSÃO DE OBRAS, SERVIÇOS PÚBLICOS E ATIVIDADES PRIVADAS</w:t>
      </w:r>
    </w:p>
    <w:p w:rsidR="00FC6BAB" w:rsidP="00EA5EAE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b/>
          <w:color w:val="000000"/>
          <w:sz w:val="24"/>
          <w:szCs w:val="24"/>
          <w:u w:val="single"/>
        </w:rPr>
      </w:pPr>
    </w:p>
    <w:p w:rsidR="005705B4" w:rsidRPr="005705B4" w:rsidP="00EA5EAE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b/>
          <w:bCs/>
          <w:color w:val="000000"/>
          <w:sz w:val="24"/>
          <w:szCs w:val="24"/>
          <w:u w:val="single"/>
        </w:rPr>
      </w:pPr>
    </w:p>
    <w:p w:rsidR="004D1D92" w:rsidRPr="00FC6BAB" w:rsidP="00FC6BAB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b/>
          <w:bCs/>
          <w:color w:val="000000"/>
          <w:sz w:val="24"/>
          <w:szCs w:val="24"/>
        </w:rPr>
      </w:pPr>
      <w:r w:rsidRPr="00FC6BAB">
        <w:rPr>
          <w:b/>
          <w:bCs/>
          <w:color w:val="000000"/>
          <w:sz w:val="24"/>
          <w:szCs w:val="24"/>
        </w:rPr>
        <w:t xml:space="preserve">Vereador Ademir Souza </w:t>
      </w:r>
      <w:r w:rsidRPr="00FC6BAB">
        <w:rPr>
          <w:b/>
          <w:bCs/>
          <w:color w:val="000000"/>
          <w:sz w:val="24"/>
          <w:szCs w:val="24"/>
        </w:rPr>
        <w:t>Floretti</w:t>
      </w:r>
      <w:r w:rsidRPr="00FC6BAB">
        <w:rPr>
          <w:b/>
          <w:bCs/>
          <w:color w:val="000000"/>
          <w:sz w:val="24"/>
          <w:szCs w:val="24"/>
        </w:rPr>
        <w:t xml:space="preserve"> Junior</w:t>
      </w:r>
    </w:p>
    <w:p w:rsidR="005705B4" w:rsidRPr="00FC6BAB" w:rsidP="00FC6BAB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bCs/>
          <w:color w:val="000000"/>
          <w:sz w:val="24"/>
          <w:szCs w:val="24"/>
        </w:rPr>
      </w:pPr>
      <w:r w:rsidRPr="00FC6BAB">
        <w:rPr>
          <w:bCs/>
          <w:color w:val="000000"/>
          <w:sz w:val="24"/>
          <w:szCs w:val="24"/>
        </w:rPr>
        <w:t>Presidente</w:t>
      </w:r>
    </w:p>
    <w:p w:rsidR="00FC6BAB" w:rsidRPr="00FC6BAB" w:rsidP="00FC6BAB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b/>
          <w:bCs/>
          <w:color w:val="000000"/>
          <w:sz w:val="24"/>
          <w:szCs w:val="24"/>
        </w:rPr>
      </w:pPr>
    </w:p>
    <w:p w:rsidR="005705B4" w:rsidRPr="00FC6BAB" w:rsidP="00FC6BAB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b/>
          <w:bCs/>
          <w:color w:val="000000"/>
          <w:sz w:val="24"/>
          <w:szCs w:val="24"/>
        </w:rPr>
      </w:pPr>
      <w:r w:rsidRPr="00FC6BAB">
        <w:rPr>
          <w:b/>
          <w:bCs/>
          <w:color w:val="000000"/>
          <w:sz w:val="24"/>
          <w:szCs w:val="24"/>
        </w:rPr>
        <w:t xml:space="preserve">Vereador </w:t>
      </w:r>
      <w:r w:rsidR="00A515D7">
        <w:rPr>
          <w:b/>
          <w:bCs/>
          <w:color w:val="000000"/>
          <w:sz w:val="24"/>
          <w:szCs w:val="24"/>
        </w:rPr>
        <w:t xml:space="preserve">Marcos </w:t>
      </w:r>
      <w:r w:rsidR="00A515D7">
        <w:rPr>
          <w:b/>
          <w:bCs/>
          <w:color w:val="000000"/>
          <w:sz w:val="24"/>
          <w:szCs w:val="24"/>
        </w:rPr>
        <w:t>Antonio</w:t>
      </w:r>
      <w:r w:rsidR="00A515D7">
        <w:rPr>
          <w:b/>
          <w:bCs/>
          <w:color w:val="000000"/>
          <w:sz w:val="24"/>
          <w:szCs w:val="24"/>
        </w:rPr>
        <w:t xml:space="preserve"> Franco</w:t>
      </w:r>
      <w:bookmarkStart w:id="4" w:name="_GoBack"/>
      <w:bookmarkEnd w:id="4"/>
      <w:r w:rsidRPr="00FC6BAB">
        <w:rPr>
          <w:b/>
          <w:bCs/>
          <w:color w:val="000000"/>
          <w:sz w:val="24"/>
          <w:szCs w:val="24"/>
        </w:rPr>
        <w:t xml:space="preserve"> </w:t>
      </w:r>
    </w:p>
    <w:p w:rsidR="005705B4" w:rsidRPr="00FC6BAB" w:rsidP="005705B4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bCs/>
          <w:color w:val="000000"/>
          <w:sz w:val="24"/>
          <w:szCs w:val="24"/>
        </w:rPr>
      </w:pPr>
      <w:r w:rsidRPr="00FC6BAB">
        <w:rPr>
          <w:bCs/>
          <w:color w:val="000000"/>
          <w:sz w:val="24"/>
          <w:szCs w:val="24"/>
        </w:rPr>
        <w:t>Vice-Presidente</w:t>
      </w:r>
    </w:p>
    <w:p w:rsidR="005705B4" w:rsidRPr="005705B4" w:rsidP="005705B4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color w:val="000000"/>
          <w:sz w:val="24"/>
          <w:szCs w:val="24"/>
        </w:rPr>
      </w:pPr>
    </w:p>
    <w:p w:rsidR="005705B4" w:rsidRPr="00FC6BAB" w:rsidP="00FC6BAB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b/>
          <w:bCs/>
          <w:color w:val="000000"/>
          <w:sz w:val="24"/>
          <w:szCs w:val="24"/>
        </w:rPr>
      </w:pPr>
      <w:r w:rsidRPr="00FC6BAB">
        <w:rPr>
          <w:b/>
          <w:bCs/>
          <w:color w:val="000000"/>
          <w:sz w:val="24"/>
          <w:szCs w:val="24"/>
        </w:rPr>
        <w:t xml:space="preserve">Vereador </w:t>
      </w:r>
      <w:r w:rsidRPr="00FC6BAB">
        <w:rPr>
          <w:b/>
          <w:bCs/>
          <w:color w:val="000000"/>
          <w:sz w:val="24"/>
          <w:szCs w:val="24"/>
        </w:rPr>
        <w:t>Wilians</w:t>
      </w:r>
      <w:r w:rsidRPr="00FC6BAB">
        <w:rPr>
          <w:b/>
          <w:bCs/>
          <w:color w:val="000000"/>
          <w:sz w:val="24"/>
          <w:szCs w:val="24"/>
        </w:rPr>
        <w:t xml:space="preserve"> Mendes de Oliveira</w:t>
      </w:r>
    </w:p>
    <w:p w:rsidR="005705B4" w:rsidP="00FC6BAB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bCs/>
          <w:color w:val="000000"/>
          <w:sz w:val="24"/>
          <w:szCs w:val="24"/>
        </w:rPr>
      </w:pPr>
      <w:r w:rsidRPr="00FC6BAB">
        <w:rPr>
          <w:bCs/>
          <w:color w:val="000000"/>
          <w:sz w:val="24"/>
          <w:szCs w:val="24"/>
        </w:rPr>
        <w:t>Membro</w:t>
      </w:r>
    </w:p>
    <w:p w:rsidR="006C6670" w:rsidP="00FC6BAB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bCs/>
          <w:color w:val="000000"/>
          <w:sz w:val="24"/>
          <w:szCs w:val="24"/>
        </w:rPr>
      </w:pPr>
    </w:p>
    <w:p w:rsidR="006C6670" w:rsidP="006C6670">
      <w:pPr>
        <w:pBdr>
          <w:top w:val="nil"/>
          <w:left w:val="nil"/>
          <w:bottom w:val="nil"/>
          <w:right w:val="nil"/>
          <w:between w:val="nil"/>
        </w:pBdr>
        <w:spacing w:after="140"/>
        <w:ind w:left="360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u w:val="single"/>
        </w:rPr>
        <w:t>COMISSÃO FINANÇAS E ORÇAMENTO</w:t>
      </w:r>
    </w:p>
    <w:p w:rsidR="006C6670" w:rsidP="006C6670">
      <w:pPr>
        <w:pBdr>
          <w:top w:val="nil"/>
          <w:left w:val="nil"/>
          <w:bottom w:val="nil"/>
          <w:right w:val="nil"/>
          <w:between w:val="nil"/>
        </w:pBdr>
        <w:spacing w:after="140"/>
        <w:ind w:left="360"/>
        <w:rPr>
          <w:b/>
          <w:bCs/>
          <w:color w:val="000000"/>
          <w:sz w:val="24"/>
          <w:szCs w:val="24"/>
        </w:rPr>
      </w:pPr>
    </w:p>
    <w:p w:rsidR="006C6670" w:rsidP="006C6670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Vereadora Mara Cristina </w:t>
      </w:r>
      <w:r>
        <w:rPr>
          <w:b/>
          <w:bCs/>
          <w:color w:val="000000"/>
          <w:sz w:val="24"/>
          <w:szCs w:val="24"/>
        </w:rPr>
        <w:t>Choquetta</w:t>
      </w:r>
    </w:p>
    <w:p w:rsidR="006C6670" w:rsidRPr="003513B0" w:rsidP="006C6670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Presidente</w:t>
      </w:r>
    </w:p>
    <w:p w:rsidR="006C6670" w:rsidP="006C667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:rsidR="006C6670" w:rsidP="006C6670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Vereador Marcio Dener </w:t>
      </w:r>
      <w:r>
        <w:rPr>
          <w:b/>
          <w:bCs/>
          <w:color w:val="000000"/>
          <w:sz w:val="24"/>
          <w:szCs w:val="24"/>
        </w:rPr>
        <w:t>Coran</w:t>
      </w:r>
    </w:p>
    <w:p w:rsidR="006C6670" w:rsidRPr="003513B0" w:rsidP="006C6670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Vice-Presidente</w:t>
      </w:r>
    </w:p>
    <w:p w:rsidR="006C6670" w:rsidP="006C667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:rsidR="006C6670" w:rsidP="006C6670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Vereador Marcos Paulo </w:t>
      </w:r>
      <w:r>
        <w:rPr>
          <w:b/>
          <w:bCs/>
          <w:color w:val="000000"/>
          <w:sz w:val="24"/>
          <w:szCs w:val="24"/>
        </w:rPr>
        <w:t>Cegatti</w:t>
      </w:r>
    </w:p>
    <w:p w:rsidR="006C6670" w:rsidP="006C6670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color w:val="000000"/>
          <w:sz w:val="24"/>
          <w:szCs w:val="24"/>
        </w:rPr>
      </w:pPr>
      <w:bookmarkStart w:id="5" w:name="_heading=h.cqm1uytbsbb2" w:colFirst="0" w:colLast="0"/>
      <w:bookmarkEnd w:id="5"/>
      <w:r>
        <w:rPr>
          <w:color w:val="000000"/>
          <w:sz w:val="24"/>
          <w:szCs w:val="24"/>
        </w:rPr>
        <w:t>Membro</w:t>
      </w:r>
    </w:p>
    <w:p w:rsidR="006C6670" w:rsidRPr="00FC6BAB" w:rsidP="00FC6BAB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bCs/>
          <w:color w:val="000000"/>
          <w:sz w:val="24"/>
          <w:szCs w:val="24"/>
        </w:rPr>
      </w:pPr>
    </w:p>
    <w:sectPr>
      <w:headerReference w:type="even" r:id="rId9"/>
      <w:headerReference w:type="default" r:id="rId10"/>
      <w:footerReference w:type="default" r:id="rId11"/>
      <w:pgSz w:w="11907" w:h="16840"/>
      <w:pgMar w:top="2127" w:right="1134" w:bottom="1560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auto"/>
    <w:pitch w:val="default"/>
    <w:sig w:usb0="00000000" w:usb1="00000000" w:usb2="00000000" w:usb3="00000000" w:csb0="00000001" w:csb1="00000000"/>
    <w:embedRegular r:id="rId1" w:fontKey="{67EEB0D8-29FD-4F4E-B7AE-1B18BB95713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23B9AEDB-4EC1-422C-8CE0-C0B737D1850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notTrueType/>
    <w:pitch w:val="default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3" w:fontKey="{1C92C15F-2711-4F35-B8DD-71B34F31EDF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498688E4-A8E5-4497-B261-265F704D71B6}"/>
  </w:font>
  <w:font w:name="Roboto">
    <w:charset w:val="00"/>
    <w:family w:val="auto"/>
    <w:pitch w:val="default"/>
    <w:sig w:usb0="00000000" w:usb1="00000000" w:usb2="00000000" w:usb3="00000000" w:csb0="00000001" w:csb1="00000000"/>
    <w:embedRegular r:id="rId5" w:fontKey="{94513CBD-BBC4-4D05-9A70-BFFE63CB81BD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Bold r:id="rId6" w:fontKey="{4B287A79-AD13-4774-B6AF-D72D4F24F46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31B06B1F-3364-4000-A18F-1A42CFB50F2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08846F83-2886-4A14-A04D-7286AE0A991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1D9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b/>
        <w:bCs/>
        <w:color w:val="000000"/>
        <w:sz w:val="18"/>
        <w:szCs w:val="18"/>
      </w:rPr>
    </w:pPr>
  </w:p>
  <w:p w:rsidR="004D1D9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4D1D9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>
      <w:rPr>
        <w:b/>
        <w:bCs/>
        <w:color w:val="000000"/>
        <w:sz w:val="18"/>
        <w:szCs w:val="18"/>
      </w:rPr>
      <w:t>Rua Dr. José Alves, 129 - Centro - Fone: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1D9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4D1D9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1D9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bCs/>
        <w:color w:val="000000"/>
        <w:sz w:val="24"/>
        <w:szCs w:val="24"/>
      </w:rPr>
    </w:pPr>
    <w:r>
      <w:rPr>
        <w:rFonts w:ascii="Bookman Old Style" w:eastAsia="Bookman Old Style" w:hAnsi="Bookman Old Style" w:cs="Bookman Old Style"/>
        <w:b/>
        <w:bCs/>
        <w:color w:val="000000"/>
        <w:sz w:val="24"/>
        <w:szCs w:val="24"/>
      </w:rPr>
      <w:t>Estado de São Paulo</w:t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-923920</wp:posOffset>
          </wp:positionH>
          <wp:positionV relativeFrom="paragraph">
            <wp:posOffset>-247646</wp:posOffset>
          </wp:positionV>
          <wp:extent cx="1341380" cy="942975"/>
          <wp:effectExtent l="0" t="0" r="0" b="0"/>
          <wp:wrapNone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28483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D1D92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Bookman Old Style" w:hAnsi="Bookman Old Style" w:cs="Bookman Old Style"/>
        <w:b/>
        <w:bCs/>
        <w:color w:val="000000"/>
        <w:sz w:val="36"/>
        <w:szCs w:val="36"/>
      </w:rPr>
    </w:pPr>
    <w:r>
      <w:rPr>
        <w:rFonts w:ascii="Bookman Old Style" w:eastAsia="Bookman Old Style" w:hAnsi="Bookman Old Style" w:cs="Bookman Old Style"/>
        <w:b/>
        <w:bCs/>
        <w:color w:val="000000"/>
        <w:sz w:val="36"/>
        <w:szCs w:val="36"/>
      </w:rPr>
      <w:t>CÂMARA MUNICIPAL DE MOGI MIRIM</w:t>
    </w:r>
  </w:p>
  <w:p w:rsidR="004D1D9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bCs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C7637B4"/>
    <w:multiLevelType w:val="multilevel"/>
    <w:tmpl w:val="7928898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733674"/>
    <w:multiLevelType w:val="multilevel"/>
    <w:tmpl w:val="81A2CA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>
    <w:nsid w:val="412574D7"/>
    <w:multiLevelType w:val="multilevel"/>
    <w:tmpl w:val="3FFE6E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4D43380C"/>
    <w:multiLevelType w:val="multilevel"/>
    <w:tmpl w:val="A1DCED2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nsid w:val="57EA6470"/>
    <w:multiLevelType w:val="multilevel"/>
    <w:tmpl w:val="DCA41176"/>
    <w:lvl w:ilvl="0">
      <w:start w:val="1"/>
      <w:numFmt w:val="upperRoman"/>
      <w:lvlText w:val="%1."/>
      <w:lvlJc w:val="right"/>
      <w:pPr>
        <w:ind w:left="78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D92"/>
    <w:rsid w:val="000505BA"/>
    <w:rsid w:val="001904BE"/>
    <w:rsid w:val="003513B0"/>
    <w:rsid w:val="004D1D92"/>
    <w:rsid w:val="005705B4"/>
    <w:rsid w:val="006C6670"/>
    <w:rsid w:val="006E3C81"/>
    <w:rsid w:val="007C30A0"/>
    <w:rsid w:val="00A515D7"/>
    <w:rsid w:val="00C17D1E"/>
    <w:rsid w:val="00EA5EAE"/>
    <w:rsid w:val="00FC6B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73A46A7-F0A5-4675-BF4E-A01882618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705B4"/>
  </w:style>
  <w:style w:type="paragraph" w:styleId="Heading1">
    <w:name w:val="heading 1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table" w:customStyle="1" w:styleId="TableNormal0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1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relative">
    <w:name w:val="relative"/>
    <w:basedOn w:val="DefaultParagraphFont"/>
    <w:rsid w:val="007029F5"/>
  </w:style>
  <w:style w:type="paragraph" w:customStyle="1" w:styleId="not-prose">
    <w:name w:val="not-prose"/>
    <w:basedOn w:val="Normal"/>
    <w:rsid w:val="007029F5"/>
    <w:pPr>
      <w:spacing w:before="100" w:beforeAutospacing="1" w:after="100" w:afterAutospacing="1"/>
    </w:pPr>
    <w:rPr>
      <w:sz w:val="24"/>
      <w:szCs w:val="24"/>
    </w:rPr>
  </w:style>
  <w:style w:type="paragraph" w:customStyle="1" w:styleId="whitespace-normal">
    <w:name w:val="whitespace-normal"/>
    <w:basedOn w:val="Normal"/>
    <w:rsid w:val="00DF3417"/>
    <w:pPr>
      <w:spacing w:before="100" w:beforeAutospacing="1" w:after="100" w:afterAutospacing="1"/>
    </w:pPr>
    <w:rPr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portal.stf.jus.br/jurisprudenciaRepercussao/tema.asp?num=19" TargetMode="External" /><Relationship Id="rId6" Type="http://schemas.openxmlformats.org/officeDocument/2006/relationships/hyperlink" Target="https://portal.stf.jus.br" TargetMode="External" /><Relationship Id="rId7" Type="http://schemas.openxmlformats.org/officeDocument/2006/relationships/hyperlink" Target="https://portal.stf.jus.br/jurisprudenciaRepercussao/verAndamentoProcesso.asp?incidente=5171382&amp;numeroProcesso=1041210&amp;classeProcesso=RE&amp;numeroTema=1010" TargetMode="External" /><Relationship Id="rId8" Type="http://schemas.openxmlformats.org/officeDocument/2006/relationships/hyperlink" Target="http://teams.microsoft.com/l/meetup-join/19%3ameeting_ZmViM2IyOGItY2I1YS00OTc4LTg2YTAtMzJhMGQzZTlhY2Nh%40thread.v2/0?context=%7b%22Tid%22%3a%2279f6b639-ab12-4280-8077-bdbeef869b33%22%2c%22Oid%22%3a%2297899160-16ec-480b-90f7-bba5ad1ed92d%22%7d" TargetMode="Externa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Relationship Id="rId8" Type="http://schemas.openxmlformats.org/officeDocument/2006/relationships/font" Target="fonts/font8.odttf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Pxw8hG5E4J5fv40Ph8JlLZghRA==">CgMxLjAyDmguYmJ0d3kzemkxN2hvMg5oLjkyeDc3bWFjYTFrMzIOaC5sc3FoaWJsZmNvdXMyDmguamFnODIxbGIzZ2dmOAByITE5MXoxRm5jcW4yQlBFeU9SZzNyQ25IcFJ1dk5zQW1jTw==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8</Pages>
  <Words>1807</Words>
  <Characters>9764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JV Gasparini</cp:lastModifiedBy>
  <cp:revision>9</cp:revision>
  <dcterms:created xsi:type="dcterms:W3CDTF">2025-12-12T19:37:00Z</dcterms:created>
  <dcterms:modified xsi:type="dcterms:W3CDTF">2025-12-15T11:29:00Z</dcterms:modified>
</cp:coreProperties>
</file>