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EF68" w14:textId="77777777" w:rsidR="0015272F" w:rsidRPr="007E4CA0" w:rsidRDefault="00B938EF" w:rsidP="007E4C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PROJETO DE LEI Nº 144 DE 2025</w:t>
      </w:r>
    </w:p>
    <w:p w14:paraId="78772F23" w14:textId="77777777" w:rsidR="007E4CA0" w:rsidRPr="007E4CA0" w:rsidRDefault="007E4CA0" w:rsidP="007E4C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AUTÓGRAFO Nº 153 DE 2025</w:t>
      </w:r>
    </w:p>
    <w:p w14:paraId="0F584110" w14:textId="77777777" w:rsidR="0015272F" w:rsidRPr="0015272F" w:rsidRDefault="0015272F" w:rsidP="0015272F">
      <w:pPr>
        <w:suppressAutoHyphens/>
        <w:autoSpaceDE w:val="0"/>
        <w:autoSpaceDN w:val="0"/>
        <w:adjustRightInd w:val="0"/>
        <w:ind w:left="378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7C4B34A" w14:textId="77777777" w:rsidR="0015272F" w:rsidRPr="0015272F" w:rsidRDefault="00B938EF" w:rsidP="007E4CA0">
      <w:pPr>
        <w:suppressAutoHyphens/>
        <w:autoSpaceDE w:val="0"/>
        <w:autoSpaceDN w:val="0"/>
        <w:adjustRightInd w:val="0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ESTIMA A RECEITA E FIXA A DESPESA DO MUNICÍPIO DE MOGI MIRIM, PARA O EXERCÍCIO DE 2026.</w:t>
      </w:r>
    </w:p>
    <w:p w14:paraId="601F0BBA" w14:textId="77777777" w:rsidR="0015272F" w:rsidRPr="0015272F" w:rsidRDefault="0015272F" w:rsidP="0015272F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211C35A" w14:textId="77777777" w:rsidR="0015272F" w:rsidRPr="0015272F" w:rsidRDefault="00B938EF" w:rsidP="007E4CA0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15272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Câmara Municipal de Mogi Mirim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aprov</w:t>
      </w:r>
      <w:r w:rsidR="007E4CA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a:</w:t>
      </w:r>
    </w:p>
    <w:p w14:paraId="1E8012F0" w14:textId="77777777" w:rsidR="0015272F" w:rsidRPr="0015272F" w:rsidRDefault="0015272F" w:rsidP="0015272F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3263405A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1º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orçamento geral do Município de Mogi Mirim, para o exercício financeiro de 2026, abrangendo o Orçamento Fiscal e da Seguridade Social, Estima a Receita e Fixa a Despesa em </w:t>
      </w:r>
      <w:r w:rsidRPr="0015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 xml:space="preserve">R$ 914.859.916,00 (novecentos e quatorze milhões, oitocentos e cinquenta e nove mil e novecentos e dezesseis reais)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assim distribuídos:</w:t>
      </w:r>
    </w:p>
    <w:p w14:paraId="24A89B42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358EF4B" w14:textId="038AC339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 xml:space="preserve">I </w:t>
      </w:r>
      <w:r w:rsidR="007E4CA0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>-</w:t>
      </w:r>
      <w:r w:rsidRPr="0015272F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 xml:space="preserve"> Orçamento Fiscal - </w:t>
      </w:r>
      <w:r w:rsidRPr="001527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 xml:space="preserve">R$ </w:t>
      </w:r>
      <w:r w:rsidR="000E7C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650.744.982,52</w:t>
      </w:r>
      <w:r w:rsidRPr="001527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 xml:space="preserve"> (seiscentos e cinquenta milhões, </w:t>
      </w:r>
      <w:r w:rsidR="000E7C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setecentos e quarenta e quatro</w:t>
      </w:r>
      <w:r w:rsidRPr="001527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 xml:space="preserve"> mil, </w:t>
      </w:r>
      <w:r w:rsidR="000E7C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 xml:space="preserve">novecentos e oitenta e dois reais e cinquenta e dois </w:t>
      </w:r>
      <w:r w:rsidRPr="001527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centavos</w:t>
      </w:r>
      <w:r w:rsidR="000E7C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)</w:t>
      </w:r>
      <w:r w:rsidRPr="001527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;</w:t>
      </w:r>
    </w:p>
    <w:p w14:paraId="35E0F28E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pt-PT" w:eastAsia="pt-BR"/>
        </w:rPr>
      </w:pPr>
      <w:r w:rsidRPr="0015272F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pt-PT" w:eastAsia="pt-BR"/>
        </w:rPr>
        <w:t> </w:t>
      </w:r>
    </w:p>
    <w:p w14:paraId="11C5F10E" w14:textId="448EED5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 xml:space="preserve">II </w:t>
      </w:r>
      <w:r w:rsidR="007E4CA0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>-</w:t>
      </w:r>
      <w:r w:rsidRPr="0015272F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 xml:space="preserve"> Orçamento Seguridade Social </w:t>
      </w:r>
      <w:r w:rsidR="007E4CA0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>-</w:t>
      </w:r>
      <w:r w:rsidRPr="0015272F">
        <w:rPr>
          <w:rFonts w:ascii="Times New Roman" w:eastAsia="Times New Roman" w:hAnsi="Times New Roman" w:cs="Times New Roman"/>
          <w:color w:val="222222"/>
          <w:sz w:val="24"/>
          <w:szCs w:val="24"/>
          <w:lang w:val="pt-PT" w:eastAsia="pt-BR"/>
        </w:rPr>
        <w:t xml:space="preserve"> </w:t>
      </w:r>
      <w:r w:rsidRPr="001527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 xml:space="preserve">R$ </w:t>
      </w:r>
      <w:r w:rsidR="000E7C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264.114.933,48</w:t>
      </w:r>
      <w:r w:rsidRPr="001527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 xml:space="preserve"> (duzentos e sessenta e </w:t>
      </w:r>
      <w:r w:rsidR="000E7C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quatro</w:t>
      </w:r>
      <w:r w:rsidRPr="001527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 xml:space="preserve"> milhões, </w:t>
      </w:r>
      <w:r w:rsidR="000E7C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cento e quatorze mil</w:t>
      </w:r>
      <w:r w:rsidRPr="001527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 xml:space="preserve">, </w:t>
      </w:r>
      <w:r w:rsidR="000E7C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novecentos e trinta e três reais</w:t>
      </w:r>
      <w:r w:rsidRPr="001527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 xml:space="preserve"> e </w:t>
      </w:r>
      <w:r w:rsidR="000E7C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quarenta e oito centavos</w:t>
      </w:r>
      <w:r w:rsidRPr="001527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PT" w:eastAsia="pt-BR"/>
        </w:rPr>
        <w:t>).</w:t>
      </w:r>
    </w:p>
    <w:p w14:paraId="71BD53CA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lang w:val="pt-PT" w:eastAsia="pt-BR"/>
        </w:rPr>
      </w:pPr>
    </w:p>
    <w:p w14:paraId="074464F2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2º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receita será realizada mediante a arrecadação de tributos, transferências e outras rendas provenientes de receitas correntes e de capital, na forma da legislação em vigor e das especificações constantes do quadro “RECEITA”, obedecendo ao seguinte desdobramento:</w:t>
      </w:r>
    </w:p>
    <w:p w14:paraId="65E1556E" w14:textId="77777777" w:rsidR="0015272F" w:rsidRPr="0015272F" w:rsidRDefault="0015272F" w:rsidP="007E4CA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0"/>
        <w:gridCol w:w="2052"/>
      </w:tblGrid>
      <w:tr w:rsidR="008C17C1" w14:paraId="63D7CFB9" w14:textId="77777777" w:rsidTr="007E4CA0">
        <w:trPr>
          <w:trHeight w:val="310"/>
        </w:trPr>
        <w:tc>
          <w:tcPr>
            <w:tcW w:w="7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73BA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ADMINISTRAÇÃO DIRETA</w:t>
            </w:r>
          </w:p>
        </w:tc>
        <w:tc>
          <w:tcPr>
            <w:tcW w:w="20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D8FFB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Calibri" w:eastAsia="Times New Roman" w:hAnsi="Calibri" w:cs="Calibri"/>
                <w:color w:val="000000"/>
                <w:lang w:val="pt-PT" w:eastAsia="pt-BR"/>
              </w:rPr>
              <w:t> </w:t>
            </w:r>
          </w:p>
        </w:tc>
      </w:tr>
      <w:tr w:rsidR="008C17C1" w14:paraId="73E539B5" w14:textId="77777777" w:rsidTr="007E4CA0">
        <w:trPr>
          <w:trHeight w:val="31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8D2C8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1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CORRENTES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CB360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Calibri" w:eastAsia="Times New Roman" w:hAnsi="Calibri" w:cs="Calibri"/>
                <w:color w:val="000000"/>
                <w:lang w:val="pt-PT" w:eastAsia="pt-BR"/>
              </w:rPr>
              <w:t> </w:t>
            </w:r>
          </w:p>
        </w:tc>
      </w:tr>
      <w:tr w:rsidR="008C17C1" w14:paraId="03424BF4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3BC4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de Impostos, Taxas e Contribuições de Melhoria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BD760" w14:textId="77777777" w:rsidR="0015272F" w:rsidRPr="0015272F" w:rsidRDefault="00B938EF" w:rsidP="007E4CA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231.658.600,00</w:t>
            </w:r>
          </w:p>
        </w:tc>
      </w:tr>
      <w:tr w:rsidR="008C17C1" w14:paraId="1507D159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688D7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1.2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de Contribuições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795BA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16.089.000,00</w:t>
            </w:r>
          </w:p>
        </w:tc>
      </w:tr>
      <w:tr w:rsidR="008C17C1" w14:paraId="436F9F1E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6EF7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1.3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Patrimonial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D818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18.223.840,00</w:t>
            </w:r>
          </w:p>
        </w:tc>
      </w:tr>
      <w:tr w:rsidR="008C17C1" w14:paraId="12CAD9D0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3811C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1.6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de Serviços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EA487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587.800,00</w:t>
            </w:r>
          </w:p>
        </w:tc>
      </w:tr>
      <w:tr w:rsidR="008C17C1" w14:paraId="3C01AC6C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2C35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1.7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Transferências Correntes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C1AE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489.679.300,00</w:t>
            </w:r>
          </w:p>
        </w:tc>
      </w:tr>
      <w:tr w:rsidR="008C17C1" w14:paraId="742D4B2C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0792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Outras Receitas Correntes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4F022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21.211.200,00</w:t>
            </w:r>
          </w:p>
        </w:tc>
      </w:tr>
      <w:tr w:rsidR="008C17C1" w14:paraId="40C7411F" w14:textId="77777777" w:rsidTr="007E4CA0">
        <w:trPr>
          <w:trHeight w:val="31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9DCE3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2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DE CAPITAL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B945A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Calibri" w:eastAsia="Times New Roman" w:hAnsi="Calibri" w:cs="Calibri"/>
                <w:color w:val="000000"/>
                <w:lang w:val="pt-PT" w:eastAsia="pt-BR"/>
              </w:rPr>
              <w:t> </w:t>
            </w:r>
          </w:p>
        </w:tc>
      </w:tr>
      <w:tr w:rsidR="008C17C1" w14:paraId="70C8F47B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1A28FD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2.1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Operações de Crédito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A34CE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76.150.000,00</w:t>
            </w:r>
          </w:p>
        </w:tc>
      </w:tr>
      <w:tr w:rsidR="008C17C1" w14:paraId="6746B111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57FAF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2.2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Alienação de Bens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474EF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2.500.000,00</w:t>
            </w:r>
          </w:p>
        </w:tc>
      </w:tr>
      <w:tr w:rsidR="008C17C1" w14:paraId="636254D3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3B48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2.4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Transferências de Capital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30EF8B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11.211.000,00</w:t>
            </w:r>
          </w:p>
        </w:tc>
      </w:tr>
      <w:tr w:rsidR="008C17C1" w14:paraId="36F4D9D6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D1EB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7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CORRENTES INTRA-ORÇAMENTÁRIAS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0E457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</w:tr>
      <w:tr w:rsidR="008C17C1" w14:paraId="0D0FADE6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5C6B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7.9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Outras Receitas Correntes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59B3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1.777.000,00</w:t>
            </w:r>
          </w:p>
        </w:tc>
      </w:tr>
      <w:tr w:rsidR="008C17C1" w14:paraId="217A832B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8F1737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8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DE CAPITAL INTRA-ORÇAMENTÁRIAS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A5778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</w:tr>
      <w:tr w:rsidR="008C17C1" w14:paraId="3D6B7889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06C3A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8.4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Transferências de Capital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D2FB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976.000,00</w:t>
            </w:r>
          </w:p>
        </w:tc>
      </w:tr>
      <w:tr w:rsidR="008C17C1" w14:paraId="7F5D29E6" w14:textId="77777777" w:rsidTr="007E4CA0">
        <w:trPr>
          <w:trHeight w:val="31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BF470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9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DEDUÇÕES DA RECEITA CORRENTE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DD504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Calibri" w:eastAsia="Times New Roman" w:hAnsi="Calibri" w:cs="Calibri"/>
                <w:color w:val="000000"/>
                <w:lang w:val="pt-PT" w:eastAsia="pt-BR"/>
              </w:rPr>
              <w:t> </w:t>
            </w:r>
          </w:p>
        </w:tc>
      </w:tr>
      <w:tr w:rsidR="008C17C1" w14:paraId="1BDB0A2E" w14:textId="77777777" w:rsidTr="007E4CA0">
        <w:trPr>
          <w:trHeight w:val="32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D5DA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9.7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Dedução para Formação do FUNDEB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EE59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-62.077.400,00</w:t>
            </w:r>
          </w:p>
        </w:tc>
      </w:tr>
      <w:tr w:rsidR="008C17C1" w14:paraId="5232B5C4" w14:textId="77777777" w:rsidTr="007E4CA0">
        <w:trPr>
          <w:trHeight w:val="310"/>
        </w:trPr>
        <w:tc>
          <w:tcPr>
            <w:tcW w:w="70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25A42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ADMINISTRAÇÃO DIRETA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D5DC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807.986.340,00</w:t>
            </w:r>
          </w:p>
        </w:tc>
      </w:tr>
    </w:tbl>
    <w:p w14:paraId="7E73F551" w14:textId="77777777" w:rsid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419731D1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0"/>
        <w:gridCol w:w="2052"/>
      </w:tblGrid>
      <w:tr w:rsidR="008C17C1" w14:paraId="222F4853" w14:textId="77777777" w:rsidTr="007E4CA0">
        <w:trPr>
          <w:trHeight w:val="406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605EEF7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ADMINISTRAÇÃO INDIRETA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SAAE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3515D8EA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1BA7CA10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AF65E4A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1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   RECEITAS CORRENTES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288BF0F6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16CF48C3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EFF803D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1.3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Patrimonial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AE74F0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3.006.000,00</w:t>
            </w:r>
          </w:p>
        </w:tc>
      </w:tr>
      <w:tr w:rsidR="008C17C1" w14:paraId="0D5B1A3B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927218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1.6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de Serviços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3D225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82.802.576,00</w:t>
            </w:r>
          </w:p>
        </w:tc>
      </w:tr>
      <w:tr w:rsidR="008C17C1" w14:paraId="4FD13F9A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B0A0CD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1.7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Transferências Correntes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B9C8CC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21.400,00</w:t>
            </w:r>
          </w:p>
        </w:tc>
      </w:tr>
      <w:tr w:rsidR="008C17C1" w14:paraId="6B162FFC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981CF3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Outras Receitas Correntes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3F72368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1.027.600,00</w:t>
            </w:r>
          </w:p>
        </w:tc>
      </w:tr>
      <w:tr w:rsidR="008C17C1" w14:paraId="211B3DED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D3BC34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2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DE CAPITAL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BEF720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04BBA874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D23628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2.1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Operações de Crédito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18775B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8.950.000,00</w:t>
            </w:r>
          </w:p>
        </w:tc>
      </w:tr>
      <w:tr w:rsidR="008C17C1" w14:paraId="73551CA9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E3A1BBF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2.4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Transferências de Capital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6472B4F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2.640.000,00</w:t>
            </w:r>
          </w:p>
        </w:tc>
      </w:tr>
      <w:tr w:rsidR="008C17C1" w14:paraId="0453BF7E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3396A9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7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RECEITAS CORRENTES INTRA-ORÇAMENTÁRIAS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BC068A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799DEEFE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BE5F2DB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7.6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Receita de Serviços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FA28A3B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8.426.000,00</w:t>
            </w:r>
          </w:p>
        </w:tc>
      </w:tr>
      <w:tr w:rsidR="008C17C1" w14:paraId="324EF6FE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AE68640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ADMINISTRAÇÃO INDIRETA - SAAE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8B92862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106.873.576,00</w:t>
            </w:r>
          </w:p>
        </w:tc>
      </w:tr>
      <w:tr w:rsidR="008C17C1" w14:paraId="3741433B" w14:textId="77777777" w:rsidTr="007E4CA0">
        <w:trPr>
          <w:trHeight w:val="319"/>
        </w:trPr>
        <w:tc>
          <w:tcPr>
            <w:tcW w:w="6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A663B6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GERAL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F00A83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914.859.916,00</w:t>
            </w:r>
          </w:p>
        </w:tc>
      </w:tr>
    </w:tbl>
    <w:p w14:paraId="5DBD09B2" w14:textId="77777777" w:rsidR="0015272F" w:rsidRPr="0015272F" w:rsidRDefault="0015272F" w:rsidP="007E4CA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829D4A5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3º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despesa será realizada segundo a discriminação dos quadros “Programa de Trabalho” e “Natureza da Despesa”, que apresentam os seguintes desdobramentos:</w:t>
      </w:r>
    </w:p>
    <w:p w14:paraId="37CF95C2" w14:textId="77777777" w:rsidR="0015272F" w:rsidRPr="0015272F" w:rsidRDefault="0015272F" w:rsidP="007E4CA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6912"/>
        <w:gridCol w:w="2052"/>
      </w:tblGrid>
      <w:tr w:rsidR="008C17C1" w14:paraId="3C9AFD08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1B108D2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DESPESAS DA ADMINISTRAÇÃO DIRETA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AC35DB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7869807E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0E9FA18" w14:textId="77777777" w:rsidR="0015272F" w:rsidRPr="0015272F" w:rsidRDefault="00B938EF" w:rsidP="007E4CA0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59"/>
              </w:tabs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 FUNÇÃO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2C2A8F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146FA326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2736C18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01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LEGISLATIVA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106942F" w14:textId="7A0B9F3A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17.939.000,00</w:t>
            </w:r>
          </w:p>
        </w:tc>
      </w:tr>
      <w:tr w:rsidR="008C17C1" w14:paraId="69AD34FD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9D2ABA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02 - JUDICIÁRIA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420F8D51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810.000,00</w:t>
            </w:r>
          </w:p>
        </w:tc>
      </w:tr>
      <w:tr w:rsidR="008C17C1" w14:paraId="6AEF177B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4D6C293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04 - ADMINISTRAÇÃO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DF35420" w14:textId="4C216703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101.584.126,00</w:t>
            </w:r>
          </w:p>
        </w:tc>
      </w:tr>
      <w:tr w:rsidR="008C17C1" w14:paraId="6ECD9213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164AAF0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06 - SEGURANÇA PÚBLICA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3DFEB0B3" w14:textId="4B09E4BE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22.931.354,31</w:t>
            </w:r>
          </w:p>
        </w:tc>
      </w:tr>
      <w:tr w:rsidR="008C17C1" w14:paraId="7AD15E7A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F69D4F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08 - ASSISTÊNCIA SOCIAL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A1B0D12" w14:textId="4B35911E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23.785.995,09</w:t>
            </w:r>
          </w:p>
        </w:tc>
      </w:tr>
      <w:tr w:rsidR="008C17C1" w14:paraId="22D70613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D2260B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10 - SAÚDE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3AE5F439" w14:textId="21D74128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236.397.938,39</w:t>
            </w:r>
          </w:p>
        </w:tc>
      </w:tr>
      <w:tr w:rsidR="008C17C1" w14:paraId="319B6FA5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E10D8CD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FF0000"/>
                <w:lang w:val="pt-PT" w:eastAsia="pt-BR"/>
              </w:rPr>
            </w:pPr>
            <w:r w:rsidRPr="00C5471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12 - EDUCAÇÃO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759F867" w14:textId="19901F20" w:rsidR="0015272F" w:rsidRPr="00C5471F" w:rsidRDefault="00C5471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C54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177.884.955,48</w:t>
            </w:r>
          </w:p>
        </w:tc>
      </w:tr>
      <w:tr w:rsidR="008C17C1" w14:paraId="6CD3D8D1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316D9D2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13 - CULTURA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EAF0EB4" w14:textId="56DDFA43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12.339.223,17</w:t>
            </w:r>
          </w:p>
        </w:tc>
      </w:tr>
      <w:tr w:rsidR="00025C46" w14:paraId="7368FA9E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0F7ACC" w14:textId="3A1DA4F5" w:rsidR="00025C46" w:rsidRPr="0015272F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14 – DIREITOS DA CIDADANIA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5DE69EDA" w14:textId="53E2BDA9" w:rsidR="00025C46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6.068.000,00</w:t>
            </w:r>
          </w:p>
        </w:tc>
      </w:tr>
      <w:tr w:rsidR="008C17C1" w14:paraId="31E22538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631CA6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15 - URBANISMO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F2FA539" w14:textId="5A8B16C9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94.377.183,00</w:t>
            </w:r>
          </w:p>
        </w:tc>
      </w:tr>
      <w:tr w:rsidR="008C17C1" w14:paraId="658C348C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BBAA0F2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16 - HABITAÇÃO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1BD4851" w14:textId="61BEEDC4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2.522.000,00</w:t>
            </w:r>
          </w:p>
        </w:tc>
      </w:tr>
      <w:tr w:rsidR="008C17C1" w14:paraId="56E2FF4B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EC8D8F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18 - GESTÃO AMBIENTAL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A3964F7" w14:textId="2FF22751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7.028.919,01</w:t>
            </w:r>
          </w:p>
        </w:tc>
      </w:tr>
      <w:tr w:rsidR="008C17C1" w14:paraId="15A70B66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68B67D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20 - AGRICULTURA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152DB5E0" w14:textId="0C86DD8A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12.962.000,00</w:t>
            </w:r>
          </w:p>
        </w:tc>
      </w:tr>
      <w:tr w:rsidR="008C17C1" w14:paraId="3DBFD7DD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46D044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22 - INDÚSTRIA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54AB2F3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2.030.000,00</w:t>
            </w:r>
          </w:p>
        </w:tc>
      </w:tr>
      <w:tr w:rsidR="008C17C1" w14:paraId="542545F7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3C90CF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23 - COMÉRCIO E SERVIÇOS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303CEE7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1.754.000,00</w:t>
            </w:r>
          </w:p>
        </w:tc>
      </w:tr>
      <w:tr w:rsidR="008C17C1" w14:paraId="778CBB4C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4F9EA9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26 - TRANSPORTE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2A9CF90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570.000,00</w:t>
            </w:r>
          </w:p>
        </w:tc>
      </w:tr>
      <w:tr w:rsidR="008C17C1" w14:paraId="30041013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CFA59B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27 - DESPORTO E LAZER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B503B69" w14:textId="3314EB47" w:rsidR="0015272F" w:rsidRPr="00025C46" w:rsidRDefault="00025C46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31.694.285,55</w:t>
            </w:r>
          </w:p>
        </w:tc>
      </w:tr>
      <w:tr w:rsidR="008C17C1" w14:paraId="3DF89288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6E9761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28 - ENCARGOS ESPECIAIS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6563BA8D" w14:textId="77777777" w:rsidR="0015272F" w:rsidRPr="00025C46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48.156.680,00</w:t>
            </w:r>
          </w:p>
        </w:tc>
      </w:tr>
      <w:tr w:rsidR="008C17C1" w14:paraId="2F2F5BB7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41A470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99 - RESERVA DE CONTINGÊNCIA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F245074" w14:textId="3286CF3E" w:rsidR="0015272F" w:rsidRPr="00025C46" w:rsidRDefault="00BF778E" w:rsidP="00BF778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7</w:t>
            </w:r>
            <w:r w:rsidR="00025C46"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</w:t>
            </w:r>
            <w:r w:rsidR="00025C46" w:rsidRPr="0002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50.680,00</w:t>
            </w:r>
          </w:p>
        </w:tc>
      </w:tr>
      <w:tr w:rsidR="008C17C1" w14:paraId="3C3703FA" w14:textId="77777777" w:rsidTr="007E4CA0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6DE52C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A1A40DB" w14:textId="5D3812D4" w:rsidR="0015272F" w:rsidRPr="0015272F" w:rsidRDefault="00B938EF" w:rsidP="00BF778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025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807.</w:t>
            </w:r>
            <w:r w:rsidR="00BF77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9</w:t>
            </w:r>
            <w:r w:rsidRPr="00025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86.340,00</w:t>
            </w:r>
          </w:p>
        </w:tc>
      </w:tr>
    </w:tbl>
    <w:p w14:paraId="25A04F4F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120F5A1A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72004719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0FB47801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6912"/>
        <w:gridCol w:w="2520"/>
      </w:tblGrid>
      <w:tr w:rsidR="008C17C1" w14:paraId="6071EF71" w14:textId="77777777">
        <w:trPr>
          <w:trHeight w:val="27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96C83D3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DESPESAS DA ADMINISTRAÇÃO INDIRETA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SAAE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09F7BC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4FA2607C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DFB9D8B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17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Saneamento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8D788A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pt-PT" w:eastAsia="pt-BR"/>
              </w:rPr>
              <w:t>100.695.104,00</w:t>
            </w:r>
          </w:p>
        </w:tc>
      </w:tr>
      <w:tr w:rsidR="008C17C1" w14:paraId="27887707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35C4B8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28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Encargos Especiais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6C9D1F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pt-PT" w:eastAsia="pt-BR"/>
              </w:rPr>
              <w:t>5.225.736,00</w:t>
            </w:r>
          </w:p>
        </w:tc>
      </w:tr>
      <w:tr w:rsidR="008C17C1" w14:paraId="6B0FEE5D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94B04E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99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Reserva de Contingência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E082F6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pt-PT" w:eastAsia="pt-BR"/>
              </w:rPr>
              <w:t>952.736,00</w:t>
            </w:r>
          </w:p>
        </w:tc>
      </w:tr>
      <w:tr w:rsidR="008C17C1" w14:paraId="2F3E8449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38657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7994D7C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106.873.576,00</w:t>
            </w:r>
          </w:p>
        </w:tc>
      </w:tr>
      <w:tr w:rsidR="008C17C1" w14:paraId="29A257E2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65B020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2279AB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11FB17F5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4124CDF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GERAL POR FUNÇÃO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1BE3B2" w14:textId="3F92B3C3" w:rsidR="0015272F" w:rsidRPr="0015272F" w:rsidRDefault="00B938EF" w:rsidP="00BF778E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914.</w:t>
            </w:r>
            <w:r w:rsidR="00BF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8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59.916,00</w:t>
            </w:r>
          </w:p>
        </w:tc>
      </w:tr>
    </w:tbl>
    <w:p w14:paraId="68D2C1E2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6912"/>
        <w:gridCol w:w="2520"/>
      </w:tblGrid>
      <w:tr w:rsidR="008C17C1" w14:paraId="76A52557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864D78F" w14:textId="77777777" w:rsidR="0015272F" w:rsidRPr="0015272F" w:rsidRDefault="00B938EF" w:rsidP="007E4CA0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 NATUREZA DA DESPESA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AE8EB2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352B8A0C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8968347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ADMINISTRAÇÃO DIRETA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36FA43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416A6F2E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25BC08E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Pessoal e Encargos Sociais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4F6F6E4" w14:textId="77777777" w:rsidR="0015272F" w:rsidRPr="00C5471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276.413.818,80</w:t>
            </w:r>
          </w:p>
        </w:tc>
      </w:tr>
      <w:tr w:rsidR="008C17C1" w14:paraId="149CE696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B38165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3.2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Juros e Encargos da Dívida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1BE179F" w14:textId="77777777" w:rsidR="0015272F" w:rsidRPr="00C5471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18.100.000,00</w:t>
            </w:r>
          </w:p>
        </w:tc>
      </w:tr>
      <w:tr w:rsidR="008C17C1" w14:paraId="618E7A8D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246C854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3.3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Outras Despesas Correntes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080356D" w14:textId="557ACDFB" w:rsidR="0015272F" w:rsidRPr="00C5471F" w:rsidRDefault="00C5471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C54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376.732.463,11</w:t>
            </w:r>
          </w:p>
        </w:tc>
      </w:tr>
      <w:tr w:rsidR="008C17C1" w14:paraId="2F5B392A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20058E7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4.4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Investimentos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25F5C0D" w14:textId="6ADD4C7A" w:rsidR="0015272F" w:rsidRPr="00C5471F" w:rsidRDefault="00C5471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C54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109.983.378,09</w:t>
            </w:r>
          </w:p>
        </w:tc>
      </w:tr>
      <w:tr w:rsidR="008C17C1" w14:paraId="0038580A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9ACBCF3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4.6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Amortização de Dívidas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2D99510" w14:textId="77777777" w:rsidR="0015272F" w:rsidRPr="00C5471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19.406.000,00</w:t>
            </w:r>
          </w:p>
        </w:tc>
      </w:tr>
      <w:tr w:rsidR="008C17C1" w14:paraId="65269DEB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C962737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9.9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Reserva de Contingência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76B2991" w14:textId="21744536" w:rsidR="0015272F" w:rsidRPr="00C5471F" w:rsidRDefault="00823B37" w:rsidP="00BF778E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</w:pPr>
            <w:r w:rsidRPr="0082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7.</w:t>
            </w:r>
            <w:r w:rsidR="00BF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3</w:t>
            </w:r>
            <w:r w:rsidRPr="00823B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50.680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,00</w:t>
            </w:r>
          </w:p>
        </w:tc>
      </w:tr>
      <w:tr w:rsidR="008C17C1" w14:paraId="6E0B75E0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58533D7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32226F10" w14:textId="20513B7E" w:rsidR="0015272F" w:rsidRPr="0015272F" w:rsidRDefault="00B938EF" w:rsidP="00BF778E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807.</w:t>
            </w:r>
            <w:r w:rsidR="00BF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9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86.340,00</w:t>
            </w:r>
          </w:p>
        </w:tc>
      </w:tr>
      <w:tr w:rsidR="008C17C1" w14:paraId="482C02BE" w14:textId="77777777">
        <w:trPr>
          <w:trHeight w:val="329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8B61400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II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ADMINISTRAÇÃO INDIRETA </w:t>
            </w:r>
            <w:r w:rsidR="007E4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 SAAE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2A2722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05007DFC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B720020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3.1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Pessoal e Encargos Sociais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3F7BA1F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20.289.000,00</w:t>
            </w:r>
          </w:p>
        </w:tc>
      </w:tr>
      <w:tr w:rsidR="008C17C1" w14:paraId="0EB1BB96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EDE17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3.2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Juros e Encargos da Dívida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06EEB56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740.000,00</w:t>
            </w:r>
          </w:p>
        </w:tc>
      </w:tr>
      <w:tr w:rsidR="008C17C1" w14:paraId="3D1009FC" w14:textId="77777777">
        <w:trPr>
          <w:trHeight w:val="330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3761F7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3.3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Outras Despesas Correntes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5A1037F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41.378.840,00</w:t>
            </w:r>
          </w:p>
        </w:tc>
      </w:tr>
      <w:tr w:rsidR="008C17C1" w14:paraId="39465A4B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B5BE34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4.4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Investimentos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7F2B4015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18.105.000,00</w:t>
            </w:r>
          </w:p>
        </w:tc>
      </w:tr>
      <w:tr w:rsidR="008C17C1" w14:paraId="5108CB6D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B02C20A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4.5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Inversões Financeiras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13DAEED3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23.952.000,00</w:t>
            </w:r>
          </w:p>
        </w:tc>
      </w:tr>
      <w:tr w:rsidR="008C17C1" w14:paraId="5803B52A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970E5F8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4.6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Amortização de Dívidas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5B333EF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1.456.000,00</w:t>
            </w:r>
          </w:p>
        </w:tc>
      </w:tr>
      <w:tr w:rsidR="008C17C1" w14:paraId="24FF6A44" w14:textId="77777777">
        <w:trPr>
          <w:trHeight w:val="315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149FCE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9.9 </w:t>
            </w:r>
            <w:r w:rsidR="007E4CA0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-</w:t>
            </w:r>
            <w:r w:rsidRPr="0015272F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 Reserva de Contingência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  <w:hideMark/>
          </w:tcPr>
          <w:p w14:paraId="2E76F771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952.736,00</w:t>
            </w:r>
          </w:p>
        </w:tc>
      </w:tr>
      <w:tr w:rsidR="008C17C1" w14:paraId="2B2DC9C9" w14:textId="77777777">
        <w:trPr>
          <w:trHeight w:val="329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9C7FBA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FDCF849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106.873.576,00</w:t>
            </w:r>
          </w:p>
        </w:tc>
      </w:tr>
      <w:tr w:rsidR="008C17C1" w14:paraId="2EF7C4E4" w14:textId="77777777">
        <w:trPr>
          <w:trHeight w:val="329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A2DF84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6586FA" w14:textId="77777777" w:rsidR="0015272F" w:rsidRPr="0015272F" w:rsidRDefault="0015272F" w:rsidP="007E4CA0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8C17C1" w14:paraId="6427ECC1" w14:textId="77777777">
        <w:trPr>
          <w:trHeight w:val="329"/>
        </w:trPr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2492EC6" w14:textId="77777777" w:rsidR="0015272F" w:rsidRPr="0015272F" w:rsidRDefault="00B938EF" w:rsidP="007E4CA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GERAL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C94665D" w14:textId="06B87240" w:rsidR="0015272F" w:rsidRPr="0015272F" w:rsidRDefault="00B938EF" w:rsidP="00BF778E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914.</w:t>
            </w:r>
            <w:r w:rsidR="00BF77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8</w:t>
            </w:r>
            <w:r w:rsidRPr="001527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59.916,00</w:t>
            </w:r>
          </w:p>
        </w:tc>
      </w:tr>
    </w:tbl>
    <w:p w14:paraId="6AB28266" w14:textId="77777777" w:rsidR="0015272F" w:rsidRPr="0015272F" w:rsidRDefault="0015272F" w:rsidP="007E4CA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417E89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4</w:t>
      </w: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 w:eastAsia="pt-BR"/>
        </w:rPr>
        <w:t>o</w:t>
      </w:r>
      <w:r w:rsidRPr="0015272F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t xml:space="preserve">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Fica o Poder Executivo e Legislativo autorizado nos termos da Constituição Federal; da Lei Complementar nº 101, de 04 de maio de 2000, a:</w:t>
      </w:r>
    </w:p>
    <w:p w14:paraId="34A034CC" w14:textId="77777777" w:rsidR="0015272F" w:rsidRPr="0015272F" w:rsidRDefault="0015272F" w:rsidP="007E4CA0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14:paraId="01164696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 - abrir, durante o exercício, créditos adicionais suplementares até o limite de 15% (quinze por cento) do total do orçamento da despesa, nos termos da legislação vigente;</w:t>
      </w:r>
    </w:p>
    <w:p w14:paraId="4E9E9F1D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64B0556" w14:textId="5B4CBF19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II - abrir créditos adicionais suplementares até o limite da dotação consignada como reserva de contingência</w:t>
      </w:r>
      <w:r w:rsidR="00646F8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;</w:t>
      </w:r>
    </w:p>
    <w:p w14:paraId="77188576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2C4FC2D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III - realizar operações de crédito por antecipação da receita orçamentária, obedecida à legislação em vigor;</w:t>
      </w:r>
    </w:p>
    <w:p w14:paraId="5A0B0B02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4B24290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IV - contingenciar parte das dotações orçamentárias, quando a evolução da receita comprometer os resultados previstos;</w:t>
      </w:r>
    </w:p>
    <w:p w14:paraId="75B0824C" w14:textId="77777777" w:rsidR="007E4CA0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F83A4B5" w14:textId="21336C5C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 - conceder a órgãos federais, estaduais e municipais, de acordo com as disponibilidades financeiras, recursos para despesas de seus custeios, inclusive cessão de servidores, nos termos do artigo 62 da Lei Complementar nº</w:t>
      </w:r>
      <w:r w:rsidR="00646F8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101, de 04 de maio de 2000 (Lei de Responsabilidade Fiscal);</w:t>
      </w:r>
    </w:p>
    <w:p w14:paraId="48527A69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F2EF300" w14:textId="4CD0BF31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VI - firmar parceria, convênio ou contrato de gestão, com entidades filantrópicas ou pessoas jurídicas de direito privado, visando fomentar atividades relacionadas às áreas de ensino, pesquisa científica, desenvolvimento tecnológico, proteção e preservação do meio ambiente, cultura, esportes, saúde e assistência social (artigo 199, § 1º da C.F.).</w:t>
      </w:r>
    </w:p>
    <w:p w14:paraId="672D0D35" w14:textId="77777777" w:rsid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6608BA9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1º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Não onerarão o limite previsto no inciso I, deste artigo, os créditos:</w:t>
      </w:r>
    </w:p>
    <w:p w14:paraId="00DAB155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0D1C2AC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a) destinados a suprir insuficiência nas dotações orçamentárias relativas à pessoal e encargos sociais, inativos e pensionistas, PASEP, auxílio-alimentação e vale transporte aos servidores, débitos constantes de precatórios judiciais, serviços da dívida pública e acordos de outras dívidas, despesas de exercícios anteriores, despesas à conta de recursos vinculados e fundos municipais;</w:t>
      </w:r>
    </w:p>
    <w:p w14:paraId="6A26348C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6BAD206" w14:textId="7F43965C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b) abertos mediante a utilização de recursos da forma prevista nos incisos I e IV do § 1º do art. 43 da Lei Federal nº 4.320 de 1964;</w:t>
      </w:r>
    </w:p>
    <w:p w14:paraId="581810FC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E508776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c) efetuar o desdobramento de dotações orçamentárias, de modo a criar nova fonte de recurso e novos códigos de aplicação.</w:t>
      </w:r>
    </w:p>
    <w:p w14:paraId="626993A1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751788F" w14:textId="048867F8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spacing w:line="288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§ 2º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Observado o limite a que se refere o inciso I do </w:t>
      </w:r>
      <w:r w:rsidRPr="0015272F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caput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deste artigo, fica o Poder </w:t>
      </w:r>
      <w:r w:rsidR="00646F8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xecutivo autorizado a transpor, remanejar ou transferir recursos, conforme inciso VI do art. 167 da Constituição Federal, em decorrência de atos relacionados à organização e funcionamento da administração municipal, conforme o disposto na alínea “a” do inciso VI do art. 84 da Constituição Federal e na alínea “a” do inciso XIX do art. 47 da Constituição do Estado de São Paulo.</w:t>
      </w:r>
    </w:p>
    <w:p w14:paraId="5B8ABD18" w14:textId="77777777" w:rsidR="007E4CA0" w:rsidRPr="0015272F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48535EE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Art. 5º 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Ficam contingenciadas, a partir de 1º de janeiro de 2026, as dotações orçamentárias referentes aos convênios e operações de créditos previstos, até a data de sua contratação.</w:t>
      </w:r>
    </w:p>
    <w:p w14:paraId="3572E119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13325CD1" w14:textId="74FC4629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6º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Fica o Poder Executivo autorizado a realizar as adequações da nova codificação das receitas, nos termos da Portaria Conjunta STN/SOF nº 650 da Secretaria do Tesouro Nacional e da Secretaria do Orçamento Federal com as portarias </w:t>
      </w:r>
      <w:r w:rsidRPr="0015272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STN nº 1.566, 1.567 e 1.568, que estabelece novos ajustes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conforme tabelas escrituração contábil do Plano d</w:t>
      </w:r>
      <w:r w:rsidR="008B6D2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Contas do Tribunal do Estado de São Paulo </w:t>
      </w:r>
      <w:r w:rsidR="007E4CA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TCE-SP, até a abertura do orçamento em 2026.</w:t>
      </w:r>
    </w:p>
    <w:p w14:paraId="0E1F8483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A2B4D1C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Parágrafo único.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atualização de que trata o </w:t>
      </w:r>
      <w:r w:rsidRPr="0015272F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caput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é restrita a codificação e nomenclatura, mantendo os valores das receitas estabelecidos no ANEXO II - Resumo Geral das Receitas.</w:t>
      </w:r>
    </w:p>
    <w:p w14:paraId="1A3A1BDE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424BCE51" w14:textId="77777777" w:rsidR="007E4CA0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7136DBE1" w14:textId="77777777" w:rsidR="007E4CA0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609E3A80" w14:textId="77777777" w:rsidR="007E4CA0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313732C4" w14:textId="77777777" w:rsidR="007E4CA0" w:rsidRDefault="007E4CA0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2DA3631E" w14:textId="77777777" w:rsidR="0015272F" w:rsidRP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7º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Nos termos do artigo 139, § 8º e seguintes, da Lei Orgânica do Município, fica incluído na presente Lei Orçamentária a reserva de </w:t>
      </w:r>
      <w:r w:rsidRPr="0015272F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R$ </w:t>
      </w:r>
      <w:r w:rsidRPr="0015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>8.007.310,00</w:t>
      </w:r>
      <w:r w:rsidRPr="001527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pt-PT" w:eastAsia="pt-BR"/>
        </w:rPr>
        <w:t xml:space="preserve"> </w:t>
      </w:r>
      <w:r w:rsidRPr="00152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>(oito milhões, sete mil e trezentos e dez reais)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Orçamento Impositivo de Execução Obrigatória pelo Poder Executivo</w:t>
      </w:r>
      <w:r w:rsidRPr="0015272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.</w:t>
      </w:r>
    </w:p>
    <w:p w14:paraId="701E4E89" w14:textId="77777777" w:rsidR="0015272F" w:rsidRPr="0015272F" w:rsidRDefault="0015272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14:paraId="55B7D966" w14:textId="77777777" w:rsidR="0015272F" w:rsidRDefault="00B938EF" w:rsidP="007E4CA0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Art. 8</w:t>
      </w:r>
      <w:r w:rsidRPr="007E4CA0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pt-PT" w:eastAsia="pt-BR"/>
        </w:rPr>
        <w:t>o</w:t>
      </w:r>
      <w:r w:rsidRPr="0015272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em 1º de janeiro de 2026.</w:t>
      </w:r>
    </w:p>
    <w:p w14:paraId="091C132C" w14:textId="77777777" w:rsidR="0015272F" w:rsidRDefault="0015272F" w:rsidP="0015272F">
      <w:pP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5182ECB" w14:textId="77777777" w:rsidR="007E4CA0" w:rsidRPr="0015272F" w:rsidRDefault="007E4CA0" w:rsidP="0015272F">
      <w:pP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C7D0E0" w14:textId="6C6FA2BF" w:rsidR="007E4CA0" w:rsidRPr="007E4CA0" w:rsidRDefault="007E4CA0" w:rsidP="007E4CA0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7E4CA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 w:rsidR="00A23336">
        <w:rPr>
          <w:rFonts w:ascii="Times New Roman" w:eastAsia="Calibri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Pr="007E4CA0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dezembro</w:t>
      </w:r>
      <w:r w:rsidRPr="007E4CA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14:paraId="1BA504E2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4B90DF9" w14:textId="77777777" w:rsid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DC7F629" w14:textId="77777777" w:rsidR="003A77C3" w:rsidRDefault="003A77C3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415D3C9" w14:textId="77777777" w:rsidR="003A77C3" w:rsidRPr="007E4CA0" w:rsidRDefault="003A77C3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A59C1F3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107285D6" w14:textId="77777777" w:rsid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23A4303C" w14:textId="77777777" w:rsidR="003A77C3" w:rsidRDefault="003A77C3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E9260DA" w14:textId="77777777" w:rsidR="003A77C3" w:rsidRDefault="003A77C3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4850E34" w14:textId="77777777" w:rsidR="007E4CA0" w:rsidRP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F7EA1DA" w14:textId="77777777" w:rsidR="007E4CA0" w:rsidRP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814148B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4564E4FF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4AB1F5EF" w14:textId="77777777" w:rsid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24A37F3" w14:textId="77777777" w:rsidR="003A77C3" w:rsidRDefault="003A77C3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92EF340" w14:textId="77777777" w:rsidR="003A77C3" w:rsidRDefault="003A77C3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834AFDC" w14:textId="77777777" w:rsidR="007E4CA0" w:rsidRP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84B6331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4F29013A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7320F146" w14:textId="77777777" w:rsid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17363B4" w14:textId="77777777" w:rsidR="003A77C3" w:rsidRDefault="003A77C3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E1435B5" w14:textId="77777777" w:rsidR="003A77C3" w:rsidRDefault="003A77C3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1D4F726" w14:textId="77777777" w:rsidR="007E4CA0" w:rsidRPr="007E4CA0" w:rsidRDefault="007E4CA0" w:rsidP="007E4CA0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21A5C38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7850D45D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4FEFF616" w14:textId="77777777" w:rsid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1114EFA" w14:textId="77777777" w:rsidR="003A77C3" w:rsidRPr="007E4CA0" w:rsidRDefault="003A77C3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3C07F09" w14:textId="77777777" w:rsid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B0434B7" w14:textId="77777777" w:rsidR="003A77C3" w:rsidRPr="007E4CA0" w:rsidRDefault="003A77C3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AD65C54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1CA0D71D" w14:textId="77777777" w:rsidR="007E4CA0" w:rsidRPr="007E4CA0" w:rsidRDefault="007E4CA0" w:rsidP="007E4CA0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7E4CA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616929C8" w14:textId="77777777" w:rsidR="0015272F" w:rsidRPr="0015272F" w:rsidRDefault="0015272F" w:rsidP="0015272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A74CAFB" w14:textId="77777777" w:rsidR="0015272F" w:rsidRDefault="0015272F" w:rsidP="0015272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  <w:lang w:val="pt-PT" w:eastAsia="pt-BR"/>
        </w:rPr>
      </w:pPr>
    </w:p>
    <w:p w14:paraId="0D9BB330" w14:textId="77777777" w:rsidR="007E4CA0" w:rsidRPr="0015272F" w:rsidRDefault="007E4CA0" w:rsidP="0015272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  <w:lang w:val="pt-PT" w:eastAsia="pt-BR"/>
        </w:rPr>
      </w:pPr>
    </w:p>
    <w:p w14:paraId="2935EE2A" w14:textId="77777777" w:rsidR="0015272F" w:rsidRPr="0015272F" w:rsidRDefault="00B938EF" w:rsidP="0015272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</w:pPr>
      <w:r w:rsidRPr="0015272F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144 de 2025</w:t>
      </w:r>
    </w:p>
    <w:p w14:paraId="14FE7DCE" w14:textId="77777777" w:rsidR="0015272F" w:rsidRPr="0015272F" w:rsidRDefault="00B938EF" w:rsidP="0015272F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</w:pPr>
      <w:r w:rsidRPr="0015272F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Autoria: Prefeito Municipal</w:t>
      </w:r>
    </w:p>
    <w:p w14:paraId="022CF253" w14:textId="77777777" w:rsidR="0015272F" w:rsidRPr="0015272F" w:rsidRDefault="0015272F" w:rsidP="0015272F">
      <w:pP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1590D42" w14:textId="77777777" w:rsidR="0034016C" w:rsidRPr="00193A1F" w:rsidRDefault="00B938EF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05E4BD0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D711EA">
      <w:headerReference w:type="default" r:id="rId7"/>
      <w:pgSz w:w="11906" w:h="16838"/>
      <w:pgMar w:top="1701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924A" w14:textId="77777777" w:rsidR="0046568F" w:rsidRDefault="0046568F">
      <w:r>
        <w:separator/>
      </w:r>
    </w:p>
  </w:endnote>
  <w:endnote w:type="continuationSeparator" w:id="0">
    <w:p w14:paraId="0E332B39" w14:textId="77777777" w:rsidR="0046568F" w:rsidRDefault="0046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592B" w14:textId="77777777" w:rsidR="0046568F" w:rsidRDefault="0046568F">
      <w:r>
        <w:separator/>
      </w:r>
    </w:p>
  </w:footnote>
  <w:footnote w:type="continuationSeparator" w:id="0">
    <w:p w14:paraId="43971F0B" w14:textId="77777777" w:rsidR="0046568F" w:rsidRDefault="00465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FC63" w14:textId="77777777" w:rsidR="004F0784" w:rsidRDefault="00B938EF" w:rsidP="007E4CA0">
    <w:pPr>
      <w:framePr w:w="265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1FBE5F9" wp14:editId="67B28614">
          <wp:extent cx="1036320" cy="754380"/>
          <wp:effectExtent l="0" t="0" r="0" b="0"/>
          <wp:docPr id="996229621" name="Imagem 99622962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80854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33924E8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EDBBF2E" w14:textId="77777777" w:rsidR="004F0784" w:rsidRDefault="00B938E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7E4CA0">
      <w:rPr>
        <w:rFonts w:ascii="Arial" w:hAnsi="Arial"/>
        <w:b/>
        <w:sz w:val="34"/>
      </w:rPr>
      <w:t>CÂMAR</w:t>
    </w:r>
    <w:r w:rsidR="00520F7E">
      <w:rPr>
        <w:rFonts w:ascii="Arial" w:hAnsi="Arial"/>
        <w:b/>
        <w:sz w:val="34"/>
      </w:rPr>
      <w:t>A</w:t>
    </w:r>
    <w:r>
      <w:rPr>
        <w:rFonts w:ascii="Arial" w:hAnsi="Arial"/>
        <w:b/>
        <w:sz w:val="34"/>
      </w:rPr>
      <w:t xml:space="preserve"> MUNICIPAL DE MOGI MIRIM</w:t>
    </w:r>
  </w:p>
  <w:p w14:paraId="1F420049" w14:textId="77777777" w:rsidR="004F0784" w:rsidRDefault="00B938E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211A951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C7842AC"/>
    <w:lvl w:ilvl="0">
      <w:numFmt w:val="bullet"/>
      <w:lvlText w:val="*"/>
      <w:lvlJc w:val="left"/>
      <w:pPr>
        <w:ind w:left="0" w:firstLine="0"/>
      </w:pPr>
    </w:lvl>
  </w:abstractNum>
  <w:num w:numId="1" w16cid:durableId="767889628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024FCC"/>
    <w:rsid w:val="00025C46"/>
    <w:rsid w:val="00051EFD"/>
    <w:rsid w:val="000E7C2D"/>
    <w:rsid w:val="00122491"/>
    <w:rsid w:val="0015272F"/>
    <w:rsid w:val="001804AD"/>
    <w:rsid w:val="001915A3"/>
    <w:rsid w:val="00193A1F"/>
    <w:rsid w:val="00207677"/>
    <w:rsid w:val="00214442"/>
    <w:rsid w:val="00217F62"/>
    <w:rsid w:val="00297801"/>
    <w:rsid w:val="0034016C"/>
    <w:rsid w:val="003815A7"/>
    <w:rsid w:val="003A77C3"/>
    <w:rsid w:val="0040556A"/>
    <w:rsid w:val="0046568F"/>
    <w:rsid w:val="004F0784"/>
    <w:rsid w:val="004F1341"/>
    <w:rsid w:val="00520F7E"/>
    <w:rsid w:val="00530D7B"/>
    <w:rsid w:val="005755DE"/>
    <w:rsid w:val="00594412"/>
    <w:rsid w:val="005D4035"/>
    <w:rsid w:val="00646F80"/>
    <w:rsid w:val="00684219"/>
    <w:rsid w:val="00697F7F"/>
    <w:rsid w:val="00700224"/>
    <w:rsid w:val="007360F6"/>
    <w:rsid w:val="007E4CA0"/>
    <w:rsid w:val="00823B37"/>
    <w:rsid w:val="0082537B"/>
    <w:rsid w:val="008B6D20"/>
    <w:rsid w:val="008C17C1"/>
    <w:rsid w:val="008E299D"/>
    <w:rsid w:val="009819E2"/>
    <w:rsid w:val="00994250"/>
    <w:rsid w:val="00A23336"/>
    <w:rsid w:val="00A5188F"/>
    <w:rsid w:val="00A5794C"/>
    <w:rsid w:val="00A906D8"/>
    <w:rsid w:val="00AA7518"/>
    <w:rsid w:val="00AB5A74"/>
    <w:rsid w:val="00B938EF"/>
    <w:rsid w:val="00BF778E"/>
    <w:rsid w:val="00C32D95"/>
    <w:rsid w:val="00C5471F"/>
    <w:rsid w:val="00C938B6"/>
    <w:rsid w:val="00D711EA"/>
    <w:rsid w:val="00DE5AAE"/>
    <w:rsid w:val="00DE675E"/>
    <w:rsid w:val="00E41924"/>
    <w:rsid w:val="00E70754"/>
    <w:rsid w:val="00F01731"/>
    <w:rsid w:val="00F05C11"/>
    <w:rsid w:val="00F071AE"/>
    <w:rsid w:val="00F87720"/>
    <w:rsid w:val="00FB2935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D46DA"/>
  <w15:docId w15:val="{61E17B13-3270-4EFE-A98E-5AFA535C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Candida</cp:lastModifiedBy>
  <cp:revision>7</cp:revision>
  <dcterms:created xsi:type="dcterms:W3CDTF">2025-12-18T14:58:00Z</dcterms:created>
  <dcterms:modified xsi:type="dcterms:W3CDTF">2026-01-05T12:57:00Z</dcterms:modified>
</cp:coreProperties>
</file>